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语文学科寒假作业（复习）   Day 8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p>
    <w:p w14:paraId="0DEF55E0">
      <w:pPr>
        <w:numPr>
          <w:ilvl w:val="0"/>
          <w:numId w:val="0"/>
        </w:numPr>
        <w:ind w:lef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文言文断句技巧：</w:t>
      </w:r>
    </w:p>
    <w:p w14:paraId="3468469B">
      <w:pPr>
        <w:numPr>
          <w:ilvl w:val="0"/>
          <w:numId w:val="0"/>
        </w:numPr>
        <w:ind w:lef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文言文断句不能脱离与语境的联系,首先认真通读原文,根据上下文语意推断断句部分的大意,把可以确定断开的地方先断开,这是断句的关键,是重中之重。有时候,理解文意存在困难,可借助一些标志和语法来进行断句。</w:t>
      </w:r>
    </w:p>
    <w:p w14:paraId="6B3B4D83">
      <w:pPr>
        <w:numPr>
          <w:ilvl w:val="0"/>
          <w:numId w:val="0"/>
        </w:numPr>
        <w:ind w:lef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借助名词和代词。文言文中的名词和代词常用来做主语或宾语,断句时可先找出名词,如人名、地名、官名、国名、朝代名、器物名、动物名等;也可先找出代词,如吾、予、余(表示“我”),尔、汝(女)、公、卿、君、若(表示“你”),其、彼、此、之等。如果这些名词或代词做主语,那么它们的前面就可能需要断开;如果这些名词或代词做宾语,那么它们的后面也可能需要断开。</w:t>
      </w:r>
    </w:p>
    <w:p w14:paraId="160B497E">
      <w:pPr>
        <w:numPr>
          <w:ilvl w:val="0"/>
          <w:numId w:val="0"/>
        </w:numPr>
        <w:ind w:lef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借助动词和形容词。充当一个句子谓语成分的是动词、形容词(或活用为动词、形容词的其他词)。断句时,可以先找到语句中的动词、形容词,确定作为谓语的动词、形容词;然后根据谓语前的状语、主语和谓语后的宾语等来断定语句的停顿点。</w:t>
      </w:r>
    </w:p>
    <w:p w14:paraId="1B0C900B">
      <w:pPr>
        <w:numPr>
          <w:ilvl w:val="0"/>
          <w:numId w:val="0"/>
        </w:numPr>
        <w:ind w:lef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3.借助虚词。虚词是明辨句读的重要标志,尤其是介词、语气词和一些连词,它们的前后,往往是该断句的地方。</w:t>
      </w:r>
    </w:p>
    <w:p w14:paraId="0CDEB34E">
      <w:pPr>
        <w:numPr>
          <w:ilvl w:val="0"/>
          <w:numId w:val="0"/>
        </w:numPr>
        <w:ind w:lef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4.借助句式</w:t>
      </w:r>
    </w:p>
    <w:p w14:paraId="143BFE9C">
      <w:pPr>
        <w:numPr>
          <w:ilvl w:val="0"/>
          <w:numId w:val="0"/>
        </w:numPr>
        <w:ind w:leftChars="0"/>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文言文中的固定结构、判断句、反问句、被动句、变式句等都可以作为断句的切入点。常见的判断句有“……者,……也”“……也”等,反问句有“不亦……乎”“孰与……乎”“其……乎”“安……哉”“何……为”等,被动句有“为……所……”“受……于……”“见……于……”等,固定结构有“如……何”“况……乎”“何(以)……为”等。</w:t>
      </w:r>
    </w:p>
    <w:p w14:paraId="761A12FC">
      <w:pPr>
        <w:numPr>
          <w:ilvl w:val="0"/>
          <w:numId w:val="0"/>
        </w:numPr>
        <w:rPr>
          <w:rFonts w:hint="eastAsia" w:ascii="Times New Roman" w:hAnsi="Times New Roman" w:eastAsia="宋体" w:cs="Times New Roman"/>
          <w:kern w:val="2"/>
          <w:sz w:val="24"/>
          <w:szCs w:val="24"/>
          <w:lang w:val="en-US" w:eastAsia="zh-CN" w:bidi="ar-SA"/>
        </w:rPr>
      </w:pPr>
    </w:p>
    <w:p w14:paraId="2CF0E982">
      <w:pPr>
        <w:numPr>
          <w:ilvl w:val="0"/>
          <w:numId w:val="1"/>
        </w:numPr>
        <w:ind w:left="0" w:leftChars="0" w:firstLine="0" w:firstLineChars="0"/>
        <w:rPr>
          <w:rFonts w:hint="eastAsia"/>
          <w:sz w:val="32"/>
          <w:szCs w:val="32"/>
          <w:lang w:val="en-US" w:eastAsia="zh-CN"/>
        </w:rPr>
      </w:pPr>
      <w:r>
        <w:rPr>
          <w:rFonts w:hint="eastAsia"/>
          <w:sz w:val="32"/>
          <w:szCs w:val="32"/>
          <w:lang w:val="en-US" w:eastAsia="zh-CN"/>
        </w:rPr>
        <w:t>练习模块</w:t>
      </w:r>
    </w:p>
    <w:p w14:paraId="1336C029">
      <w:pPr>
        <w:pStyle w:val="2"/>
        <w:tabs>
          <w:tab w:val="left" w:pos="4253"/>
        </w:tabs>
        <w:spacing w:line="360" w:lineRule="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1．补写出下列句子中的空缺部分。</w:t>
      </w:r>
    </w:p>
    <w:p w14:paraId="1AAA1898">
      <w:pPr>
        <w:pStyle w:val="2"/>
        <w:tabs>
          <w:tab w:val="left" w:pos="4253"/>
        </w:tabs>
        <w:spacing w:line="360" w:lineRule="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（1）《短歌行》中，运用比喻手法感慨人生短暂的诗句是：“          ，         。”</w:t>
      </w:r>
    </w:p>
    <w:p w14:paraId="3F7C0222">
      <w:pPr>
        <w:pStyle w:val="2"/>
        <w:tabs>
          <w:tab w:val="left" w:pos="4253"/>
        </w:tabs>
        <w:spacing w:line="360" w:lineRule="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（2）杨万里《插秧歌》中，“         ，        ”两句，描绘了一家四口齐心协力又分工合作，干得热火朝天而又秩序井然的劳动场景。</w:t>
      </w:r>
    </w:p>
    <w:p w14:paraId="63A40AA3">
      <w:pPr>
        <w:pStyle w:val="2"/>
        <w:tabs>
          <w:tab w:val="left" w:pos="4253"/>
        </w:tabs>
        <w:spacing w:line="360" w:lineRule="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（3）陶渊明《归园田居》（其一）中“        ，        ”两句使用叠字，增添了乡村远景的平静安详之感。</w:t>
      </w:r>
    </w:p>
    <w:p w14:paraId="752252E9">
      <w:pPr>
        <w:pStyle w:val="2"/>
        <w:tabs>
          <w:tab w:val="left" w:pos="4253"/>
        </w:tabs>
        <w:spacing w:line="360" w:lineRule="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（4）秦观《鹊桥仙》中，赞叹牛郎织女一年一度的七夕相会胜过人间无数次相聚的词句是“         ，         ”。</w:t>
      </w:r>
      <w:bookmarkStart w:id="0" w:name="_GoBack"/>
      <w:bookmarkEnd w:id="0"/>
    </w:p>
    <w:p w14:paraId="586F4B59">
      <w:pPr>
        <w:pStyle w:val="2"/>
        <w:tabs>
          <w:tab w:val="left" w:pos="4253"/>
        </w:tabs>
        <w:spacing w:line="360" w:lineRule="auto"/>
        <w:rPr>
          <w:rFonts w:ascii="Times New Roman" w:hAnsi="Times New Roman" w:cs="Times New Roman"/>
          <w:sz w:val="24"/>
          <w:szCs w:val="24"/>
        </w:rPr>
      </w:pPr>
      <w:r>
        <w:rPr>
          <w:rFonts w:hint="eastAsia"/>
          <w:sz w:val="32"/>
          <w:szCs w:val="32"/>
          <w:lang w:val="en-US" w:eastAsia="zh-CN"/>
        </w:rPr>
        <w:t>2.</w:t>
      </w:r>
      <w:r>
        <w:rPr>
          <w:rFonts w:ascii="Times New Roman" w:hAnsi="Times New Roman" w:cs="Times New Roman"/>
          <w:sz w:val="24"/>
          <w:szCs w:val="24"/>
        </w:rPr>
        <w:t>阅读下面的文言文，完成1～5题。</w:t>
      </w:r>
    </w:p>
    <w:p w14:paraId="536DF501">
      <w:pPr>
        <w:shd w:val="clear" w:color="auto" w:fill="auto"/>
        <w:spacing w:line="360" w:lineRule="auto"/>
        <w:jc w:val="left"/>
        <w:textAlignment w:val="center"/>
      </w:pPr>
      <w:r>
        <w:rPr>
          <w:rFonts w:hint="eastAsia"/>
          <w:lang w:val="en-US" w:eastAsia="zh-CN"/>
        </w:rPr>
        <w:t>一、</w:t>
      </w:r>
      <w:r>
        <w:t>阅读下面的文言文，完成下面小题。</w:t>
      </w:r>
    </w:p>
    <w:p w14:paraId="7697CA90">
      <w:pPr>
        <w:shd w:val="clear" w:color="auto" w:fill="auto"/>
        <w:spacing w:line="360" w:lineRule="auto"/>
        <w:ind w:firstLine="560"/>
        <w:jc w:val="left"/>
        <w:textAlignment w:val="center"/>
      </w:pPr>
      <w:r>
        <w:rPr>
          <w:rFonts w:ascii="楷体" w:hAnsi="楷体" w:eastAsia="楷体" w:cs="楷体"/>
        </w:rPr>
        <w:t>材料一：</w:t>
      </w:r>
    </w:p>
    <w:p w14:paraId="5EC2523E">
      <w:pPr>
        <w:shd w:val="clear" w:color="auto" w:fill="auto"/>
        <w:spacing w:line="360" w:lineRule="auto"/>
        <w:ind w:firstLine="560"/>
        <w:jc w:val="left"/>
        <w:textAlignment w:val="center"/>
      </w:pPr>
      <w:r>
        <w:rPr>
          <w:rFonts w:ascii="楷体" w:hAnsi="楷体" w:eastAsia="楷体" w:cs="楷体"/>
        </w:rPr>
        <w:t>太祖武皇帝，沛国谯人也，姓曹，</w:t>
      </w:r>
      <w:r>
        <w:rPr>
          <w:rFonts w:ascii="楷体" w:hAnsi="楷体" w:eastAsia="楷体" w:cs="楷体"/>
          <w:em w:val="underDot"/>
        </w:rPr>
        <w:t>讳</w:t>
      </w:r>
      <w:r>
        <w:rPr>
          <w:rFonts w:ascii="楷体" w:hAnsi="楷体" w:eastAsia="楷体" w:cs="楷体"/>
        </w:rPr>
        <w:t>操，字孟德。公少机警，有权数，而任侠放荡，不治行业，故世人未之奇也；惟梁国桥玄、南阳何颙异焉。玄谓公曰：</w:t>
      </w:r>
      <w:r>
        <w:t>“</w:t>
      </w:r>
      <w:r>
        <w:rPr>
          <w:rFonts w:ascii="楷体" w:hAnsi="楷体" w:eastAsia="楷体" w:cs="楷体"/>
          <w:u w:val="single"/>
        </w:rPr>
        <w:t>天下将乱，非命世之才不能济也，能安之者，其在君乎！</w:t>
      </w:r>
      <w:r>
        <w:t>”</w:t>
      </w:r>
      <w:r>
        <w:rPr>
          <w:rFonts w:ascii="楷体" w:hAnsi="楷体" w:eastAsia="楷体" w:cs="楷体"/>
        </w:rPr>
        <w:t>年二十，举孝廉为郎，征拜议郎。</w:t>
      </w:r>
    </w:p>
    <w:p w14:paraId="31F181ED">
      <w:pPr>
        <w:shd w:val="clear" w:color="auto" w:fill="auto"/>
        <w:spacing w:line="360" w:lineRule="auto"/>
        <w:ind w:firstLine="560"/>
        <w:jc w:val="left"/>
        <w:textAlignment w:val="center"/>
      </w:pPr>
      <w:r>
        <w:rPr>
          <w:rFonts w:ascii="楷体" w:hAnsi="楷体" w:eastAsia="楷体" w:cs="楷体"/>
        </w:rPr>
        <w:t>光和末，黄巾起。拜骑都尉，讨颍川贼，迁为济南相。国有十余县，长吏多阿附贵戚，赃污狼藉，于是奏免其八；禁断淫祀，奸宄逃窜，郡界肃然。久之，征还为东郡太守；不就，称疾归乡里。</w:t>
      </w:r>
    </w:p>
    <w:p w14:paraId="4ECFF64F">
      <w:pPr>
        <w:shd w:val="clear" w:color="auto" w:fill="auto"/>
        <w:spacing w:line="360" w:lineRule="auto"/>
        <w:ind w:firstLine="560"/>
        <w:jc w:val="left"/>
        <w:textAlignment w:val="center"/>
      </w:pPr>
      <w:r>
        <w:rPr>
          <w:rFonts w:ascii="楷体" w:hAnsi="楷体" w:eastAsia="楷体" w:cs="楷体"/>
        </w:rPr>
        <w:t>初，公为兖州牧，以东平毕谌为别驾。张邈之叛也，邈劫谌母弟妻子；公谢遣之，曰：</w:t>
      </w:r>
      <w:r>
        <w:t>“</w:t>
      </w:r>
      <w:r>
        <w:rPr>
          <w:rFonts w:ascii="楷体" w:hAnsi="楷体" w:eastAsia="楷体" w:cs="楷体"/>
        </w:rPr>
        <w:t>卿老母在彼，可去。</w:t>
      </w:r>
      <w:r>
        <w:t>”</w:t>
      </w:r>
      <w:r>
        <w:rPr>
          <w:rFonts w:ascii="楷体" w:hAnsi="楷体" w:eastAsia="楷体" w:cs="楷体"/>
        </w:rPr>
        <w:t>谌</w:t>
      </w:r>
      <w:r>
        <w:rPr>
          <w:rFonts w:ascii="楷体" w:hAnsi="楷体" w:eastAsia="楷体" w:cs="楷体"/>
          <w:em w:val="underDot"/>
        </w:rPr>
        <w:t>顿首</w:t>
      </w:r>
      <w:r>
        <w:rPr>
          <w:rFonts w:ascii="楷体" w:hAnsi="楷体" w:eastAsia="楷体" w:cs="楷体"/>
        </w:rPr>
        <w:t>无二心，公嘉之，为之流涕。既出，遂亡归。及布破，谌生得，众为谌惧，公曰：</w:t>
      </w:r>
      <w:r>
        <w:t>“</w:t>
      </w:r>
      <w:r>
        <w:rPr>
          <w:rFonts w:ascii="楷体" w:hAnsi="楷体" w:eastAsia="楷体" w:cs="楷体"/>
        </w:rPr>
        <w:t>夫人孝于其亲者，岂不亦忠于君乎！吾所求也。</w:t>
      </w:r>
      <w:r>
        <w:t>”</w:t>
      </w:r>
      <w:r>
        <w:rPr>
          <w:rFonts w:ascii="楷体" w:hAnsi="楷体" w:eastAsia="楷体" w:cs="楷体"/>
        </w:rPr>
        <w:t>以为鲁相。初，公举种孝廉。兖州叛，公曰：</w:t>
      </w:r>
      <w:r>
        <w:t>“</w:t>
      </w:r>
      <w:r>
        <w:rPr>
          <w:rFonts w:ascii="楷体" w:hAnsi="楷体" w:eastAsia="楷体" w:cs="楷体"/>
        </w:rPr>
        <w:t>唯魏种且不弃孤也。</w:t>
      </w:r>
      <w:r>
        <w:t>”</w:t>
      </w:r>
      <w:r>
        <w:rPr>
          <w:rFonts w:ascii="楷体" w:hAnsi="楷体" w:eastAsia="楷体" w:cs="楷体"/>
        </w:rPr>
        <w:t>及闻种走，公怒曰：</w:t>
      </w:r>
      <w:r>
        <w:t>“</w:t>
      </w:r>
      <w:r>
        <w:rPr>
          <w:rFonts w:ascii="楷体" w:hAnsi="楷体" w:eastAsia="楷体" w:cs="楷体"/>
        </w:rPr>
        <w:t>种不南走越、北走胡，不置汝也！</w:t>
      </w:r>
      <w:r>
        <w:t>”</w:t>
      </w:r>
      <w:r>
        <w:rPr>
          <w:rFonts w:ascii="楷体" w:hAnsi="楷体" w:eastAsia="楷体" w:cs="楷体"/>
        </w:rPr>
        <w:t>既下射犬，生禽种，公曰：</w:t>
      </w:r>
      <w:r>
        <w:t>“</w:t>
      </w:r>
      <w:r>
        <w:rPr>
          <w:rFonts w:ascii="楷体" w:hAnsi="楷体" w:eastAsia="楷体" w:cs="楷体"/>
        </w:rPr>
        <w:t>唯其才也！</w:t>
      </w:r>
      <w:r>
        <w:t>”</w:t>
      </w:r>
      <w:r>
        <w:rPr>
          <w:rFonts w:ascii="楷体" w:hAnsi="楷体" w:eastAsia="楷体" w:cs="楷体"/>
        </w:rPr>
        <w:t>释其缚而用之。</w:t>
      </w:r>
    </w:p>
    <w:p w14:paraId="48183B8D">
      <w:pPr>
        <w:shd w:val="clear" w:color="auto" w:fill="auto"/>
        <w:spacing w:line="360" w:lineRule="auto"/>
        <w:ind w:firstLine="560"/>
        <w:jc w:val="left"/>
        <w:textAlignment w:val="center"/>
      </w:pPr>
      <w:r>
        <w:rPr>
          <w:rFonts w:ascii="楷体" w:hAnsi="楷体" w:eastAsia="楷体" w:cs="楷体"/>
        </w:rPr>
        <w:t>七年春正月。公军谯，令曰：</w:t>
      </w:r>
      <w:r>
        <w:t>“</w:t>
      </w:r>
      <w:r>
        <w:rPr>
          <w:rFonts w:ascii="楷体" w:hAnsi="楷体" w:eastAsia="楷体" w:cs="楷体"/>
        </w:rPr>
        <w:t>吾起义兵，为天下除暴乱。旧土人民，死丧略尽，国中终日行，不见所识，使吾凄怆伤怀。</w:t>
      </w:r>
      <w:r>
        <w:rPr>
          <w:rFonts w:ascii="楷体" w:hAnsi="楷体" w:eastAsia="楷体" w:cs="楷体"/>
          <w:u w:val="single"/>
        </w:rPr>
        <w:t>其举义兵已来，将士绝无后者，求其亲戚以后之</w:t>
      </w:r>
      <w:r>
        <w:rPr>
          <w:rFonts w:ascii="楷体" w:hAnsi="楷体" w:eastAsia="楷体" w:cs="楷体"/>
        </w:rPr>
        <w:t>，授土田，官给耕牛，置学师以教之。为存者立庙，使祀其先人，魂而有灵，吾百年之后何恨哉！</w:t>
      </w:r>
      <w:r>
        <w:t>”</w:t>
      </w:r>
      <w:r>
        <w:rPr>
          <w:rFonts w:ascii="楷体" w:hAnsi="楷体" w:eastAsia="楷体" w:cs="楷体"/>
        </w:rPr>
        <w:t>遂至浚仪，治睢阳渠，遣使以</w:t>
      </w:r>
      <w:r>
        <w:rPr>
          <w:rFonts w:ascii="楷体" w:hAnsi="楷体" w:eastAsia="楷体" w:cs="楷体"/>
          <w:em w:val="underDot"/>
        </w:rPr>
        <w:t>太牢</w:t>
      </w:r>
      <w:r>
        <w:rPr>
          <w:rFonts w:ascii="楷体" w:hAnsi="楷体" w:eastAsia="楷体" w:cs="楷体"/>
        </w:rPr>
        <w:t>祀桥玄。进军官渡。</w:t>
      </w:r>
    </w:p>
    <w:p w14:paraId="216EB343">
      <w:pPr>
        <w:shd w:val="clear" w:color="auto" w:fill="auto"/>
        <w:spacing w:line="360" w:lineRule="auto"/>
        <w:ind w:firstLine="560"/>
        <w:jc w:val="left"/>
        <w:textAlignment w:val="center"/>
      </w:pPr>
      <w:r>
        <w:rPr>
          <w:rFonts w:ascii="楷体" w:hAnsi="楷体" w:eastAsia="楷体" w:cs="楷体"/>
        </w:rPr>
        <w:t>八年秋七月，令曰：</w:t>
      </w:r>
      <w:r>
        <w:t>“</w:t>
      </w:r>
      <w:r>
        <w:rPr>
          <w:rFonts w:ascii="楷体" w:hAnsi="楷体" w:eastAsia="楷体" w:cs="楷体"/>
        </w:rPr>
        <w:t>丧乱已来，十有五年，后生者不见仁义礼让之风，吾甚伤之。其令郡国各修文学，县满五百户置校官，选其乡之俊造而教学之，庶几先王之道不废，而有以益于天下。</w:t>
      </w:r>
      <w:r>
        <w:t>”</w:t>
      </w:r>
    </w:p>
    <w:p w14:paraId="515C7DDA">
      <w:pPr>
        <w:shd w:val="clear" w:color="auto" w:fill="auto"/>
        <w:spacing w:line="360" w:lineRule="auto"/>
        <w:ind w:firstLine="560"/>
        <w:jc w:val="left"/>
        <w:textAlignment w:val="center"/>
      </w:pPr>
      <w:r>
        <w:rPr>
          <w:rFonts w:ascii="楷体" w:hAnsi="楷体" w:eastAsia="楷体" w:cs="楷体"/>
        </w:rPr>
        <w:t>十二年春二月，公自淳于还邺。</w:t>
      </w:r>
      <w:r>
        <w:rPr>
          <w:rFonts w:ascii="楷体" w:hAnsi="楷体" w:eastAsia="楷体" w:cs="楷体"/>
          <w:em w:val="underDot"/>
        </w:rPr>
        <w:t>丁酉</w:t>
      </w:r>
      <w:r>
        <w:rPr>
          <w:rFonts w:ascii="楷体" w:hAnsi="楷体" w:eastAsia="楷体" w:cs="楷体"/>
        </w:rPr>
        <w:t>，令曰：</w:t>
      </w:r>
      <w:r>
        <w:t>“</w:t>
      </w:r>
      <w:r>
        <w:rPr>
          <w:rFonts w:ascii="楷体" w:hAnsi="楷体" w:eastAsia="楷体" w:cs="楷体"/>
        </w:rPr>
        <w:t>吾起义兵诛暴乱，于今十九年，所征必克，岂吾功哉？乃贤士大夫之力也。天下虽未悉定，吾当要与贤士大夫共定之；而专飨其劳，吾何以安焉！其促定功行封。</w:t>
      </w:r>
      <w:r>
        <w:t>”</w:t>
      </w:r>
      <w:r>
        <w:rPr>
          <w:rFonts w:ascii="楷体" w:hAnsi="楷体" w:eastAsia="楷体" w:cs="楷体"/>
        </w:rPr>
        <w:t>于是大封功臣二十余人，皆为列侯，其余各以次受封，及复死事之孤，轻重各有差。</w:t>
      </w:r>
    </w:p>
    <w:p w14:paraId="63C70043">
      <w:pPr>
        <w:shd w:val="clear" w:color="auto" w:fill="auto"/>
        <w:spacing w:line="360" w:lineRule="auto"/>
        <w:ind w:firstLine="560"/>
        <w:jc w:val="right"/>
        <w:textAlignment w:val="center"/>
      </w:pPr>
      <w:r>
        <w:rPr>
          <w:rFonts w:ascii="楷体" w:hAnsi="楷体" w:eastAsia="楷体" w:cs="楷体"/>
        </w:rPr>
        <w:t>（节选自《三国志·魏志一·武帝曹操》）</w:t>
      </w:r>
    </w:p>
    <w:p w14:paraId="347E2970">
      <w:pPr>
        <w:shd w:val="clear" w:color="auto" w:fill="auto"/>
        <w:spacing w:line="360" w:lineRule="auto"/>
        <w:ind w:firstLine="560"/>
        <w:jc w:val="left"/>
        <w:textAlignment w:val="center"/>
      </w:pPr>
      <w:r>
        <w:rPr>
          <w:rFonts w:ascii="楷体" w:hAnsi="楷体" w:eastAsia="楷体" w:cs="楷体"/>
        </w:rPr>
        <w:t>材料二：</w:t>
      </w:r>
    </w:p>
    <w:p w14:paraId="2E140A12">
      <w:pPr>
        <w:shd w:val="clear" w:color="auto" w:fill="auto"/>
        <w:spacing w:line="360" w:lineRule="auto"/>
        <w:ind w:firstLine="560"/>
        <w:jc w:val="left"/>
        <w:textAlignment w:val="center"/>
      </w:pPr>
      <w:r>
        <w:rPr>
          <w:rFonts w:ascii="楷体" w:hAnsi="楷体" w:eastAsia="楷体" w:cs="楷体"/>
        </w:rPr>
        <w:t>建安十五年春，下令曰：</w:t>
      </w:r>
      <w:r>
        <w:t>“</w:t>
      </w:r>
      <w:r>
        <w:rPr>
          <w:rFonts w:ascii="楷体" w:hAnsi="楷体" w:eastAsia="楷体" w:cs="楷体"/>
          <w:u w:val="wave"/>
        </w:rPr>
        <w:t>自古受命及中兴之君曷尝不得贤人君子与之共治天下者乎今天下尚未定此特求贤之急时也</w:t>
      </w:r>
      <w:r>
        <w:rPr>
          <w:rFonts w:ascii="楷体" w:hAnsi="楷体" w:eastAsia="楷体" w:cs="楷体"/>
        </w:rPr>
        <w:t>。若必廉士而后可用，则齐桓何以霸世！诸子其佐我明扬仄陋，唯才是举，吾得而用之。</w:t>
      </w:r>
      <w:r>
        <w:t>”</w:t>
      </w:r>
      <w:r>
        <w:rPr>
          <w:rFonts w:ascii="楷体" w:hAnsi="楷体" w:eastAsia="楷体" w:cs="楷体"/>
        </w:rPr>
        <w:t>十六年，令曰：</w:t>
      </w:r>
      <w:r>
        <w:t>“</w:t>
      </w:r>
      <w:r>
        <w:rPr>
          <w:rFonts w:ascii="楷体" w:hAnsi="楷体" w:eastAsia="楷体" w:cs="楷体"/>
        </w:rPr>
        <w:t>夫有行之士未必能进取，进取之士未必能有行也。陈平岂笃行？苏秦岂守信邪？而陈平定汉业，苏秦济弱燕。由此言之，士有偏短，庸可废乎！有司明思此义，则士无遗滞，官无废业矣。</w:t>
      </w:r>
      <w:r>
        <w:t>”</w:t>
      </w:r>
    </w:p>
    <w:p w14:paraId="6CBF5C18">
      <w:pPr>
        <w:shd w:val="clear" w:color="auto" w:fill="auto"/>
        <w:spacing w:line="360" w:lineRule="auto"/>
        <w:ind w:firstLine="560"/>
        <w:jc w:val="right"/>
        <w:textAlignment w:val="center"/>
      </w:pPr>
      <w:r>
        <w:rPr>
          <w:rFonts w:ascii="楷体" w:hAnsi="楷体" w:eastAsia="楷体" w:cs="楷体"/>
        </w:rPr>
        <w:t>（节选自曹操《求贤令》）</w:t>
      </w:r>
    </w:p>
    <w:p w14:paraId="35BCA636">
      <w:pPr>
        <w:shd w:val="clear" w:color="auto" w:fill="auto"/>
        <w:spacing w:line="360" w:lineRule="auto"/>
        <w:jc w:val="left"/>
        <w:textAlignment w:val="center"/>
      </w:pPr>
      <w:r>
        <w:rPr>
          <w:rFonts w:hint="eastAsia"/>
          <w:lang w:val="en-US" w:eastAsia="zh-CN"/>
        </w:rPr>
        <w:t>1</w:t>
      </w:r>
      <w:r>
        <w:t>．材料二中画波浪线的部分有三处需要断句，请用铅笔将答题卡上相应位置的答案标号涂黑。</w:t>
      </w:r>
    </w:p>
    <w:p w14:paraId="3078405C">
      <w:pPr>
        <w:shd w:val="clear" w:color="auto" w:fill="auto"/>
        <w:spacing w:line="360" w:lineRule="auto"/>
        <w:jc w:val="left"/>
        <w:textAlignment w:val="center"/>
      </w:pPr>
      <w:r>
        <w:t>自古受命A及中兴之君B曷尝不得贤人C君子D与之共治天下者乎E今天下F尚未定G此特求贤之急H时也。</w:t>
      </w:r>
    </w:p>
    <w:p w14:paraId="73641F58">
      <w:pPr>
        <w:shd w:val="clear" w:color="auto" w:fill="auto"/>
        <w:spacing w:line="360" w:lineRule="auto"/>
        <w:jc w:val="left"/>
        <w:textAlignment w:val="center"/>
      </w:pPr>
      <w:r>
        <w:rPr>
          <w:rFonts w:hint="eastAsia"/>
          <w:lang w:val="en-US" w:eastAsia="zh-CN"/>
        </w:rPr>
        <w:t>2</w:t>
      </w:r>
      <w:r>
        <w:t>．下列对材料中加点词语及相关内容的解说，不正确的一项是（</w:t>
      </w:r>
      <w:r>
        <w:rPr>
          <w:rFonts w:ascii="Times New Roman" w:hAnsi="Times New Roman" w:eastAsia="Times New Roman" w:cs="Times New Roman"/>
          <w:kern w:val="0"/>
          <w:sz w:val="24"/>
          <w:szCs w:val="24"/>
        </w:rPr>
        <w:t>   </w:t>
      </w:r>
      <w:r>
        <w:t>）</w:t>
      </w:r>
    </w:p>
    <w:p w14:paraId="5A5AF09A">
      <w:pPr>
        <w:shd w:val="clear" w:color="auto" w:fill="auto"/>
        <w:spacing w:line="360" w:lineRule="auto"/>
        <w:ind w:left="380"/>
        <w:jc w:val="left"/>
        <w:textAlignment w:val="center"/>
      </w:pPr>
      <w:r>
        <w:t>A．讳，指死去的帝王或尊长的名字，符合古时候对历史人物的名字不直接称谓的习惯。</w:t>
      </w:r>
    </w:p>
    <w:p w14:paraId="79F66E23">
      <w:pPr>
        <w:shd w:val="clear" w:color="auto" w:fill="auto"/>
        <w:spacing w:line="360" w:lineRule="auto"/>
        <w:ind w:left="380"/>
        <w:jc w:val="left"/>
        <w:textAlignment w:val="center"/>
      </w:pPr>
      <w:r>
        <w:t>B．顿首，旧时一种礼节。以头叩地即举而不停留。通常用于下级对上级及平辈间敬礼。</w:t>
      </w:r>
    </w:p>
    <w:p w14:paraId="4540254B">
      <w:pPr>
        <w:shd w:val="clear" w:color="auto" w:fill="auto"/>
        <w:spacing w:line="360" w:lineRule="auto"/>
        <w:ind w:left="380"/>
        <w:jc w:val="left"/>
        <w:textAlignment w:val="center"/>
      </w:pPr>
      <w:r>
        <w:t>C．太牢，古代祭祀所用牺牲，有太牢、少牢之分。其中牛、羊、豕三牲全备为“太牢”。</w:t>
      </w:r>
    </w:p>
    <w:p w14:paraId="0095A889">
      <w:pPr>
        <w:shd w:val="clear" w:color="auto" w:fill="auto"/>
        <w:spacing w:line="360" w:lineRule="auto"/>
        <w:ind w:left="380"/>
        <w:jc w:val="left"/>
        <w:textAlignment w:val="center"/>
      </w:pPr>
      <w:r>
        <w:t>D．丁酉，干支之一。干支纪年由十二天干和十地支配合纪年，是指我国传统纪年历法。</w:t>
      </w:r>
    </w:p>
    <w:p w14:paraId="006A350F">
      <w:pPr>
        <w:shd w:val="clear" w:color="auto" w:fill="auto"/>
        <w:spacing w:line="360" w:lineRule="auto"/>
        <w:jc w:val="left"/>
        <w:textAlignment w:val="center"/>
      </w:pPr>
      <w:r>
        <w:rPr>
          <w:rFonts w:hint="eastAsia"/>
          <w:lang w:val="en-US" w:eastAsia="zh-CN"/>
        </w:rPr>
        <w:t>3</w:t>
      </w:r>
      <w:r>
        <w:t>．下列对材料有关内容的概括和分析，不正确的一项是（</w:t>
      </w:r>
      <w:r>
        <w:rPr>
          <w:rFonts w:ascii="Times New Roman" w:hAnsi="Times New Roman" w:eastAsia="Times New Roman" w:cs="Times New Roman"/>
          <w:kern w:val="0"/>
          <w:sz w:val="24"/>
          <w:szCs w:val="24"/>
        </w:rPr>
        <w:t>   </w:t>
      </w:r>
      <w:r>
        <w:t>）</w:t>
      </w:r>
    </w:p>
    <w:p w14:paraId="3FC2B589">
      <w:pPr>
        <w:shd w:val="clear" w:color="auto" w:fill="auto"/>
        <w:spacing w:line="360" w:lineRule="auto"/>
        <w:ind w:left="380"/>
        <w:jc w:val="left"/>
        <w:textAlignment w:val="center"/>
      </w:pPr>
      <w:r>
        <w:t>A．曹操年少有为，为人看重。曹操年少时尚义任侠，机灵能干，善于随机应变，受到当时人追捧认可，尤其被桥玄、何颙看重。</w:t>
      </w:r>
    </w:p>
    <w:p w14:paraId="5A6E46C6">
      <w:pPr>
        <w:shd w:val="clear" w:color="auto" w:fill="auto"/>
        <w:spacing w:line="360" w:lineRule="auto"/>
        <w:ind w:left="380"/>
        <w:jc w:val="left"/>
        <w:textAlignment w:val="center"/>
      </w:pPr>
      <w:r>
        <w:t>B．曹操刚毅正直，不附权贵。曹操做济南相期间，境内县官们大多迎合君主的内外亲族，贪赃受贿，曹操上奏免去其中多个县官。</w:t>
      </w:r>
    </w:p>
    <w:p w14:paraId="6C1F2EB6">
      <w:pPr>
        <w:shd w:val="clear" w:color="auto" w:fill="auto"/>
        <w:spacing w:line="360" w:lineRule="auto"/>
        <w:ind w:left="380"/>
        <w:jc w:val="left"/>
        <w:textAlignment w:val="center"/>
      </w:pPr>
      <w:r>
        <w:t>C．曹操重视礼义，关心教育。曹操下令各郡国修习文学，设置校官，选拔乡里优秀人才接受教育学习，希望恢复古代先王之道。</w:t>
      </w:r>
    </w:p>
    <w:p w14:paraId="28388CE0">
      <w:pPr>
        <w:shd w:val="clear" w:color="auto" w:fill="auto"/>
        <w:spacing w:line="360" w:lineRule="auto"/>
        <w:ind w:left="380"/>
        <w:jc w:val="left"/>
        <w:textAlignment w:val="center"/>
      </w:pPr>
      <w:r>
        <w:t>D．曹操的《求贤令》和《短歌行》均表达了他的“求贤若渴”，但表达方式上有所不同，前者多直接表达，后者多借用典故委婉表达。</w:t>
      </w:r>
    </w:p>
    <w:p w14:paraId="2691556D">
      <w:pPr>
        <w:shd w:val="clear" w:color="auto" w:fill="auto"/>
        <w:spacing w:line="360" w:lineRule="auto"/>
        <w:jc w:val="left"/>
        <w:textAlignment w:val="center"/>
      </w:pPr>
      <w:r>
        <w:rPr>
          <w:rFonts w:hint="eastAsia"/>
          <w:lang w:val="en-US" w:eastAsia="zh-CN"/>
        </w:rPr>
        <w:t>4</w:t>
      </w:r>
      <w:r>
        <w:t>．翻译下列句子。</w:t>
      </w:r>
    </w:p>
    <w:p w14:paraId="2F89F898">
      <w:pPr>
        <w:shd w:val="clear" w:color="auto" w:fill="auto"/>
        <w:spacing w:line="360" w:lineRule="auto"/>
        <w:jc w:val="left"/>
        <w:textAlignment w:val="center"/>
      </w:pPr>
      <w:r>
        <w:t>（1）天下将乱，非命世之才不能济也，能安之者，其在君乎！</w:t>
      </w:r>
    </w:p>
    <w:p w14:paraId="4B7D8DB5">
      <w:pPr>
        <w:shd w:val="clear" w:color="auto" w:fill="auto"/>
        <w:spacing w:line="360" w:lineRule="auto"/>
        <w:jc w:val="left"/>
        <w:textAlignment w:val="center"/>
      </w:pPr>
    </w:p>
    <w:p w14:paraId="64165F51">
      <w:pPr>
        <w:numPr>
          <w:ilvl w:val="0"/>
          <w:numId w:val="2"/>
        </w:numPr>
        <w:shd w:val="clear" w:color="auto" w:fill="auto"/>
        <w:spacing w:line="360" w:lineRule="auto"/>
        <w:jc w:val="left"/>
        <w:textAlignment w:val="center"/>
      </w:pPr>
      <w:r>
        <w:t>其举义兵已来，将士绝无后者，求其亲戚以后之。</w:t>
      </w:r>
    </w:p>
    <w:p w14:paraId="237A7467">
      <w:pPr>
        <w:numPr>
          <w:numId w:val="0"/>
        </w:numPr>
        <w:shd w:val="clear" w:color="auto" w:fill="auto"/>
        <w:spacing w:line="360" w:lineRule="auto"/>
        <w:jc w:val="left"/>
        <w:textAlignment w:val="center"/>
      </w:pPr>
    </w:p>
    <w:p w14:paraId="6E09D224">
      <w:pPr>
        <w:shd w:val="clear" w:color="auto" w:fill="auto"/>
        <w:spacing w:line="360" w:lineRule="auto"/>
        <w:jc w:val="left"/>
        <w:textAlignment w:val="center"/>
      </w:pPr>
      <w:r>
        <w:rPr>
          <w:rFonts w:hint="eastAsia"/>
          <w:lang w:val="en-US" w:eastAsia="zh-CN"/>
        </w:rPr>
        <w:t>5</w:t>
      </w:r>
      <w:r>
        <w:t>．材料二中曹操对人才有怎样的认识？材料一中是如何体现这种认识的？请简要说明。</w:t>
      </w:r>
    </w:p>
    <w:p w14:paraId="778FEC45">
      <w:pPr>
        <w:numPr>
          <w:ilvl w:val="0"/>
          <w:numId w:val="0"/>
        </w:numPr>
        <w:ind w:leftChars="0"/>
        <w:rPr>
          <w:rFonts w:hint="default"/>
          <w:sz w:val="32"/>
          <w:szCs w:val="32"/>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7C2A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EC5B5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EC5B5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横峰中学学生寒假作业（语文） 编号：hfzx  使用时间:   编写人：程亚超  审核人：邓建平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00907D"/>
    <w:multiLevelType w:val="singleLevel"/>
    <w:tmpl w:val="E900907D"/>
    <w:lvl w:ilvl="0" w:tentative="0">
      <w:start w:val="2"/>
      <w:numFmt w:val="decimal"/>
      <w:suff w:val="nothing"/>
      <w:lvlText w:val="（%1）"/>
      <w:lvlJc w:val="left"/>
    </w:lvl>
  </w:abstractNum>
  <w:abstractNum w:abstractNumId="1">
    <w:nsid w:val="256D1999"/>
    <w:multiLevelType w:val="singleLevel"/>
    <w:tmpl w:val="256D1999"/>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10158D6"/>
    <w:rsid w:val="0C2062B0"/>
    <w:rsid w:val="11C937C4"/>
    <w:rsid w:val="18EA07E2"/>
    <w:rsid w:val="21A34113"/>
    <w:rsid w:val="23016F7A"/>
    <w:rsid w:val="238C4FCD"/>
    <w:rsid w:val="26685BD3"/>
    <w:rsid w:val="3D5D33B6"/>
    <w:rsid w:val="42984EF4"/>
    <w:rsid w:val="4DC90020"/>
    <w:rsid w:val="4E8956D1"/>
    <w:rsid w:val="4EED488B"/>
    <w:rsid w:val="5FEF7F48"/>
    <w:rsid w:val="71074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2769</Words>
  <Characters>2807</Characters>
  <Lines>0</Lines>
  <Paragraphs>0</Paragraphs>
  <TotalTime>0</TotalTime>
  <ScaleCrop>false</ScaleCrop>
  <LinksUpToDate>false</LinksUpToDate>
  <CharactersWithSpaces>2989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Mr谢</cp:lastModifiedBy>
  <dcterms:modified xsi:type="dcterms:W3CDTF">2025-01-08T06:45:12Z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3D031FCB112A4E2992D12C749287C080_13</vt:lpwstr>
  </property>
  <property fmtid="{D5CDD505-2E9C-101B-9397-08002B2CF9AE}" pid="4" name="KSOTemplateDocerSaveRecord">
    <vt:lpwstr>eyJoZGlkIjoiOGJiZjBhZmY0YjZhNzkwYTZjNzMyNzk0MDg3NDRlZmYiLCJ1c2VySWQiOiIyMzczNzA2NTcifQ==</vt:lpwstr>
  </property>
</Properties>
</file>