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6D04">
      <w:pPr>
        <w:numPr>
          <w:ilvl w:val="0"/>
          <w:numId w:val="0"/>
        </w:numPr>
        <w:ind w:firstLine="320" w:firstLineChars="1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语文学科寒假作业（复习）   Day 10   </w:t>
      </w:r>
      <w:r>
        <w:rPr>
          <w:rFonts w:hint="eastAsia"/>
          <w:sz w:val="24"/>
          <w:szCs w:val="24"/>
          <w:lang w:val="en-US" w:eastAsia="zh-CN"/>
        </w:rPr>
        <w:t xml:space="preserve">(练习时长：40分钟) </w:t>
      </w:r>
    </w:p>
    <w:p w14:paraId="5F1410D1">
      <w:pPr>
        <w:numPr>
          <w:ilvl w:val="0"/>
          <w:numId w:val="0"/>
        </w:numPr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姓名：              完成评价：</w:t>
      </w:r>
    </w:p>
    <w:p w14:paraId="54337C46"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核心知识的归纳总结和梳理模块</w:t>
      </w:r>
    </w:p>
    <w:p w14:paraId="5CA04A3D">
      <w:pPr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漫画作文审题立意方法：</w:t>
      </w:r>
    </w:p>
    <w:p w14:paraId="7A6538D0">
      <w:pPr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657725" cy="3048000"/>
            <wp:effectExtent l="0" t="0" r="3175" b="0"/>
            <wp:docPr id="100003" name="图片 100003" descr="@@@4eaa280f-d2bc-4c2b-83c6-01392f00ec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4eaa280f-d2bc-4c2b-83c6-01392f00ec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31170">
      <w:pPr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1.看标题</w:t>
      </w:r>
    </w:p>
    <w:p w14:paraId="2A3CF962">
      <w:pPr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标题往往告知人们图画的主题思想，是图画的“眼腈”。透过这“眼睛”，我们可洞察图画的主题。所以审读时首先要看标题是什么，然后再把标题同图画的内容结合起来进行分析，这样就容易弄清图画的寓意所在。</w:t>
      </w:r>
    </w:p>
    <w:p w14:paraId="48425594">
      <w:pPr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2.观画面</w:t>
      </w:r>
    </w:p>
    <w:p w14:paraId="6F72A911">
      <w:pPr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以图画为材料的作文，分析画面是解题的重要环节。画面上的每一个细节都对表达画图的寓意有提示作用。因此，我们在审读图画题时，一定要仔细、全面、认真地观察画面。</w:t>
      </w:r>
    </w:p>
    <w:p w14:paraId="3ED68C5B">
      <w:pPr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3.读注释</w:t>
      </w:r>
    </w:p>
    <w:p w14:paraId="432C5A98">
      <w:pPr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图画是一门艺术，为了表达其寓意，常常配有言简意赅、画龙点睛的注释文字。这注释是弄清图画寓意的一把金钥匙，考生必须仔细品味，思考其所隐含的信息和观点。</w:t>
      </w:r>
    </w:p>
    <w:p w14:paraId="098EDBAD">
      <w:pPr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4.析夸张</w:t>
      </w:r>
    </w:p>
    <w:p w14:paraId="29B551B3">
      <w:pPr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很多图画常常对人物行为或场景描绘给以变形夸张，以达到讽刺或警世的目的，引起观者共鸣。夸张之处往往就是图画的弦外之音，是图画所要表达的寓意所在。所以，审读题时必须注意图画的夸张之处。</w:t>
      </w:r>
    </w:p>
    <w:p w14:paraId="10A8D95F">
      <w:pPr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5.联现实</w:t>
      </w:r>
    </w:p>
    <w:p w14:paraId="3EB79460">
      <w:pPr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图画大多具有针砭时弊，抨击社会不良现象的功能，解读时必须展开想象，跳出画面，联系现实，揣摩画外之音。考生要多角度思考，切忌就画论画。</w:t>
      </w:r>
    </w:p>
    <w:p w14:paraId="143BFE9C">
      <w:pPr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761A12FC">
      <w:pPr>
        <w:numPr>
          <w:ilvl w:val="0"/>
          <w:numId w:val="0"/>
        </w:numP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</w:p>
    <w:p w14:paraId="2CF0E982"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练习模块</w:t>
      </w:r>
    </w:p>
    <w:p w14:paraId="09DB5E0E"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1.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补写出下列句子中的空缺部分。</w:t>
      </w:r>
    </w:p>
    <w:p w14:paraId="5EF1B98C"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（1）毛泽东在湖南第一师范学校读书时常和同学到湘江游泳并写下了“自信人生二百年，会当水击三千里”这样气势豪迈的诗句，后来他在《沁园春·长沙》中的两句诗“            ，            ”就是对这一时期这一生活的回忆，其实两者都是借写游泳以言志。</w:t>
      </w:r>
    </w:p>
    <w:p w14:paraId="0A5F50F8"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（2）诗歌的本质是对生命的独特发现与表达。陶潜挂冠归隐，如俊鸟出笼，任意西东，一句“            ，            ”（《归园田居》）充分表达了他重获自由的愉悦；曹操则在《短歌行》中借用《管子·形势解》中的句子来表现自己广纳天下贤才的壮志和胸襟的句子是“            ，            ”。</w:t>
      </w:r>
    </w:p>
    <w:p w14:paraId="3E27BB08"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（3）《静女》中，女子与男子有约却“            ”，这令男子“            ”，通过描写人物的特征性动作，刻画出热恋中女子的调皮和男子的痴醉。</w:t>
      </w:r>
    </w:p>
    <w:p w14:paraId="462A23D9"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（4）李煜《虞美人》“            ，            ”通过宫殿与宫女对比，暗含李后主对国土更姓、山河变色的感慨。</w:t>
      </w:r>
    </w:p>
    <w:p w14:paraId="25D37750"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（5）对于爱人的分离，秦观《鹊桥仙》以“两情若是久长时，又岂在朝朝暮暮”两句表现出达观的心态，《涉江采芙蓉》则通过“            ，            ”两句流露出无尽的忧伤。</w:t>
      </w:r>
    </w:p>
    <w:p w14:paraId="586F4B59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  <w:sz w:val="32"/>
          <w:szCs w:val="32"/>
          <w:lang w:val="en-US" w:eastAsia="zh-CN"/>
        </w:rPr>
        <w:t>2.</w:t>
      </w:r>
      <w:r>
        <w:rPr>
          <w:rFonts w:ascii="Times New Roman" w:hAnsi="Times New Roman" w:cs="Times New Roman"/>
          <w:sz w:val="24"/>
          <w:szCs w:val="24"/>
        </w:rPr>
        <w:t>阅读下面的文言文，完成1～5题。</w:t>
      </w:r>
    </w:p>
    <w:p w14:paraId="1E734C24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材料一：</w:t>
      </w:r>
    </w:p>
    <w:p w14:paraId="4109F19B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二月乙酉，(晋悼)公即位。使吕宣子将下军，曰：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邲之役，吕锜佐智庄子于上军，获楚公子穀臣与连尹襄老，以免子羽。鄢之役，亲射楚王而败楚师，以定晋国而</w:t>
      </w:r>
      <w:r>
        <w:rPr>
          <w:rFonts w:ascii="Times New Roman" w:hAnsi="Times New Roman" w:cs="Times New Roman"/>
          <w:sz w:val="24"/>
          <w:szCs w:val="24"/>
          <w:em w:val="underDot"/>
        </w:rPr>
        <w:t>无后</w:t>
      </w:r>
      <w:r>
        <w:rPr>
          <w:rFonts w:ascii="Times New Roman" w:hAnsi="Times New Roman" w:cs="Times New Roman"/>
          <w:sz w:val="24"/>
          <w:szCs w:val="24"/>
        </w:rPr>
        <w:t>，其子孙不可不崇也。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使彘恭子将新军，曰：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武子之季、文子之</w:t>
      </w:r>
      <w:r>
        <w:rPr>
          <w:rFonts w:hint="eastAsia" w:ascii="Times New Roman" w:hAnsi="Times New Roman" w:cs="Times New Roman"/>
          <w:sz w:val="24"/>
          <w:szCs w:val="24"/>
        </w:rPr>
        <w:t>母弟也。武子宣法以定晋国，至于今是用。文子勤身以定诸侯，至于今是赖。夫二子之德，其可忘乎！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ascii="Times New Roman" w:hAnsi="Times New Roman" w:cs="Times New Roman"/>
          <w:sz w:val="24"/>
          <w:szCs w:val="24"/>
        </w:rPr>
        <w:t>故以彘季屏其宗。使令狐文子佐之，曰：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ascii="Times New Roman" w:hAnsi="Times New Roman" w:cs="Times New Roman"/>
          <w:sz w:val="24"/>
          <w:szCs w:val="24"/>
        </w:rPr>
        <w:t>昔克潞之役，</w:t>
      </w:r>
      <w:r>
        <w:rPr>
          <w:rFonts w:ascii="Times New Roman" w:hAnsi="Times New Roman" w:cs="Times New Roman"/>
          <w:sz w:val="24"/>
          <w:szCs w:val="24"/>
          <w:u w:val="wave"/>
        </w:rPr>
        <w:t>秦来图败晋功魏颗以其身却退秦师于辅氏亲止杜回其勋铭于景钟。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至于今不育，其子不可不兴也。</w:t>
      </w:r>
      <w:r>
        <w:rPr>
          <w:rFonts w:hAnsi="宋体" w:cs="Times New Roman"/>
          <w:sz w:val="24"/>
          <w:szCs w:val="24"/>
        </w:rPr>
        <w:t>”</w:t>
      </w:r>
    </w:p>
    <w:p w14:paraId="15699471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君知士贞子之帅志博闻而宣惠于教也，使为太傅。知栾纠之能御以和于政也，使为戎御。知荀宾之有力而不暴也，使为</w:t>
      </w:r>
      <w:r>
        <w:rPr>
          <w:rFonts w:ascii="Times New Roman" w:hAnsi="Times New Roman" w:cs="Times New Roman"/>
          <w:sz w:val="24"/>
          <w:szCs w:val="24"/>
          <w:em w:val="underDot"/>
        </w:rPr>
        <w:t>戎右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65A83900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栾伯请公族大夫，公曰：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荀家惇惠，荀会文敏，黡也果敢，无忌镇静，使兹四人者为之。夫</w:t>
      </w:r>
      <w:r>
        <w:rPr>
          <w:rFonts w:ascii="Times New Roman" w:hAnsi="Times New Roman" w:cs="Times New Roman"/>
          <w:sz w:val="24"/>
          <w:szCs w:val="24"/>
          <w:em w:val="underDot"/>
        </w:rPr>
        <w:t>膏粱</w:t>
      </w:r>
      <w:r>
        <w:rPr>
          <w:rFonts w:ascii="Times New Roman" w:hAnsi="Times New Roman" w:cs="Times New Roman"/>
          <w:sz w:val="24"/>
          <w:szCs w:val="24"/>
        </w:rPr>
        <w:t>之性难正也，故使惇惠者</w:t>
      </w:r>
      <w:r>
        <w:rPr>
          <w:rFonts w:hint="eastAsia" w:ascii="Times New Roman" w:hAnsi="Times New Roman" w:cs="Times New Roman"/>
          <w:sz w:val="24"/>
          <w:szCs w:val="24"/>
        </w:rPr>
        <w:t>教之，使文敏者导之，使果敢者谂之，使镇静者修之。惇惠者教之，则遍而不倦；文敏者导之，则婉而入；果敢者谂之，则过不隐；镇静者修之，则壹。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ascii="Times New Roman" w:hAnsi="Times New Roman" w:cs="Times New Roman"/>
          <w:sz w:val="24"/>
          <w:szCs w:val="24"/>
        </w:rPr>
        <w:t>使兹四人者为公族大夫。</w:t>
      </w:r>
    </w:p>
    <w:p w14:paraId="36D5B0AF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公知祁奚之果而不</w:t>
      </w:r>
      <w:r>
        <w:rPr>
          <w:rFonts w:ascii="Times New Roman" w:hAnsi="Times New Roman" w:cs="Times New Roman"/>
          <w:sz w:val="24"/>
          <w:szCs w:val="24"/>
          <w:em w:val="underDot"/>
        </w:rPr>
        <w:t>淫</w:t>
      </w:r>
      <w:r>
        <w:rPr>
          <w:rFonts w:ascii="Times New Roman" w:hAnsi="Times New Roman" w:cs="Times New Roman"/>
          <w:sz w:val="24"/>
          <w:szCs w:val="24"/>
        </w:rPr>
        <w:t>也，使为元尉。知羊舌职之聪敏肃给也，使佐之。知魏绛之勇而不乱也，使为元司马。知张老之智而不诈也，使为元候。知铎遏寇之恭敬而信强也，使为舆尉。</w:t>
      </w:r>
    </w:p>
    <w:p w14:paraId="5729E4DC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始合诸侯于虚朾以救宋，使张老延君誉于四方，且观道逆者。吕宣子卒，公以赵文子为文也，而能恤大事，使佐新军。五年，</w:t>
      </w:r>
      <w:r>
        <w:rPr>
          <w:rFonts w:ascii="Times New Roman" w:hAnsi="Times New Roman" w:cs="Times New Roman"/>
          <w:sz w:val="24"/>
          <w:szCs w:val="24"/>
          <w:u w:val="single"/>
        </w:rPr>
        <w:t>诸戎来请服，使魏庄子盟之，于是乎始复霸。</w:t>
      </w:r>
    </w:p>
    <w:p w14:paraId="3AC57CED">
      <w:pPr>
        <w:pStyle w:val="2"/>
        <w:tabs>
          <w:tab w:val="left" w:pos="4253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(节选自《国语·晋语七》)</w:t>
      </w:r>
    </w:p>
    <w:p w14:paraId="40EE97D7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材料二：</w:t>
      </w:r>
    </w:p>
    <w:p w14:paraId="2D9E5A7A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魏绛事晋悼公。悼公三年，会诸侯。悼公弟杨干乱行，魏绛僇辱杨干。悼公怒曰：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合诸侯以为荣，今辱吾弟！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将诛魏绛。</w:t>
      </w:r>
      <w:r>
        <w:rPr>
          <w:rFonts w:ascii="Times New Roman" w:hAnsi="Times New Roman" w:cs="Times New Roman"/>
          <w:sz w:val="24"/>
          <w:szCs w:val="24"/>
          <w:u w:val="single"/>
        </w:rPr>
        <w:t>或说悼公，悼公止。卒任魏绛政，使和戎、翟。</w:t>
      </w:r>
      <w:r>
        <w:rPr>
          <w:rFonts w:ascii="Times New Roman" w:hAnsi="Times New Roman" w:cs="Times New Roman"/>
          <w:sz w:val="24"/>
          <w:szCs w:val="24"/>
        </w:rPr>
        <w:t>戎、翟亲附。悼公之十一年，曰：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自吾用魏绛，八年之中，九合诸侯，戎、翟和，子之力也！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赐之乐，三让，然后受之。</w:t>
      </w:r>
    </w:p>
    <w:p w14:paraId="6F599C50">
      <w:pPr>
        <w:pStyle w:val="2"/>
        <w:tabs>
          <w:tab w:val="left" w:pos="4253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(节选自《史记·魏世家》)</w:t>
      </w:r>
    </w:p>
    <w:p w14:paraId="5F87B7A5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Arial" w:hAnsi="Arial" w:cs="Arial"/>
          <w:sz w:val="24"/>
          <w:szCs w:val="24"/>
          <w:lang w:eastAsia="zh-CN"/>
        </w:rPr>
        <w:t>（</w:t>
      </w:r>
      <w:r>
        <w:rPr>
          <w:rFonts w:ascii="Arial" w:hAnsi="Arial" w:cs="Arial"/>
          <w:sz w:val="24"/>
          <w:szCs w:val="24"/>
        </w:rPr>
        <w:t>1</w:t>
      </w:r>
      <w:r>
        <w:rPr>
          <w:rFonts w:hint="eastAsia" w:ascii="Arial" w:hAnsi="Arial" w:cs="Arial"/>
          <w:sz w:val="24"/>
          <w:szCs w:val="24"/>
          <w:lang w:eastAsia="zh-CN"/>
        </w:rPr>
        <w:t>）</w:t>
      </w:r>
      <w:r>
        <w:rPr>
          <w:rFonts w:ascii="Times New Roman" w:hAnsi="Times New Roman" w:cs="Times New Roman"/>
          <w:sz w:val="24"/>
          <w:szCs w:val="24"/>
        </w:rPr>
        <w:t>材料一画波浪线的部分有三处需要断句，请写出正确的序号(　　)</w:t>
      </w:r>
    </w:p>
    <w:p w14:paraId="05AD427E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秦来图败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\x(A)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晋功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\x(B)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魏颗以其身却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\x(C)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退秦师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\x(D)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于辅氏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\x(E)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亲止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\x(F)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杜回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\x(G)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其勋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eq \x(H)</w:instrTex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铭于景钟。</w:t>
      </w:r>
    </w:p>
    <w:p w14:paraId="744F4051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Arial" w:hAnsi="Arial" w:cs="Arial"/>
          <w:sz w:val="24"/>
          <w:szCs w:val="24"/>
          <w:lang w:eastAsia="zh-CN"/>
        </w:rPr>
        <w:t>（</w:t>
      </w:r>
      <w:r>
        <w:rPr>
          <w:rFonts w:hint="eastAsia" w:ascii="Arial" w:hAnsi="Arial" w:cs="Arial"/>
          <w:sz w:val="24"/>
          <w:szCs w:val="24"/>
          <w:lang w:val="en-US" w:eastAsia="zh-CN"/>
        </w:rPr>
        <w:t>2</w:t>
      </w:r>
      <w:r>
        <w:rPr>
          <w:rFonts w:hint="eastAsia" w:ascii="Arial" w:hAnsi="Arial" w:cs="Arial"/>
          <w:sz w:val="24"/>
          <w:szCs w:val="24"/>
          <w:lang w:eastAsia="zh-CN"/>
        </w:rPr>
        <w:t>）</w:t>
      </w:r>
      <w:r>
        <w:rPr>
          <w:rFonts w:ascii="Times New Roman" w:hAnsi="Times New Roman" w:cs="Times New Roman"/>
          <w:sz w:val="24"/>
          <w:szCs w:val="24"/>
        </w:rPr>
        <w:t>下列对文中加点的词语及相关内容的解说，不</w:t>
      </w:r>
      <w:r>
        <w:rPr>
          <w:rFonts w:hint="eastAsia" w:ascii="Times New Roman" w:hAnsi="Times New Roman" w:cs="Times New Roman"/>
          <w:sz w:val="24"/>
          <w:szCs w:val="24"/>
        </w:rPr>
        <w:t>正确的一项是</w:t>
      </w:r>
      <w:r>
        <w:rPr>
          <w:rFonts w:ascii="Times New Roman" w:hAnsi="Times New Roman" w:cs="Times New Roman"/>
          <w:sz w:val="24"/>
          <w:szCs w:val="24"/>
        </w:rPr>
        <w:t>(　　)</w:t>
      </w:r>
    </w:p>
    <w:p w14:paraId="57C85F51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无后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的意思是没有后代，与孟子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不孝有三，无后为大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的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无后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含义相同。</w:t>
      </w:r>
    </w:p>
    <w:p w14:paraId="07FD3088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戎右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指陪乘之官，作战时在君主之右，执武器以护卫。《鸿门宴》中的樊哙即任此职。</w:t>
      </w:r>
    </w:p>
    <w:p w14:paraId="19DC1E3B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膏粱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指肥肉细粮，泛指精美食物，此处指富贵人家及其后嗣，与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纨绔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含义相同。</w:t>
      </w:r>
    </w:p>
    <w:p w14:paraId="125098B1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淫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的意思是放纵、恣肆，与《离骚》中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谣诼谓余以善淫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的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淫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含义不相同。</w:t>
      </w:r>
    </w:p>
    <w:p w14:paraId="697E554B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Arial" w:hAnsi="Arial" w:cs="Arial"/>
          <w:sz w:val="24"/>
          <w:szCs w:val="24"/>
          <w:lang w:eastAsia="zh-CN"/>
        </w:rPr>
        <w:t>（</w:t>
      </w:r>
      <w:r>
        <w:rPr>
          <w:rFonts w:hint="eastAsia" w:ascii="Arial" w:hAnsi="Arial" w:cs="Arial"/>
          <w:sz w:val="24"/>
          <w:szCs w:val="24"/>
          <w:lang w:val="en-US" w:eastAsia="zh-CN"/>
        </w:rPr>
        <w:t>3</w:t>
      </w:r>
      <w:r>
        <w:rPr>
          <w:rFonts w:hint="eastAsia" w:ascii="Arial" w:hAnsi="Arial" w:cs="Arial"/>
          <w:sz w:val="24"/>
          <w:szCs w:val="24"/>
          <w:lang w:eastAsia="zh-CN"/>
        </w:rPr>
        <w:t>）</w:t>
      </w:r>
      <w:r>
        <w:rPr>
          <w:rFonts w:ascii="Times New Roman" w:hAnsi="Times New Roman" w:cs="Times New Roman"/>
          <w:sz w:val="24"/>
          <w:szCs w:val="24"/>
        </w:rPr>
        <w:t>下</w:t>
      </w:r>
      <w:r>
        <w:rPr>
          <w:rFonts w:hint="eastAsia" w:ascii="Times New Roman" w:hAnsi="Times New Roman" w:cs="Times New Roman"/>
          <w:sz w:val="24"/>
          <w:szCs w:val="24"/>
        </w:rPr>
        <w:t>列对原文有关内容的概述，不正确的一项是</w:t>
      </w:r>
      <w:r>
        <w:rPr>
          <w:rFonts w:ascii="Times New Roman" w:hAnsi="Times New Roman" w:cs="Times New Roman"/>
          <w:sz w:val="24"/>
          <w:szCs w:val="24"/>
        </w:rPr>
        <w:t>(　　)</w:t>
      </w:r>
    </w:p>
    <w:p w14:paraId="2C0ECDD2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A.晋悼公善待功臣之后，不仅屏退对他们的宗族进行看管的人，而且还让其后世子孙蒙受恩惠，担任军队中的重要职位。</w:t>
      </w:r>
    </w:p>
    <w:p w14:paraId="7E6D9312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B.晋悼公认为敦厚仁惠、博学聪敏、果断敢为、镇定沉着的人有助于教导富贵子弟处事周全、通明事理、不隐过失、稳重专一。</w:t>
      </w:r>
    </w:p>
    <w:p w14:paraId="08867F57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C.晋悼公初次会合诸侯的目的是对宋施以援手，他派张老到处宣扬国君的美誉，观察哪些诸侯是有德义的，哪些诸侯是逆乱的。</w:t>
      </w:r>
    </w:p>
    <w:p w14:paraId="5427BF88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D.魏绛因不畏权贵，且任职八年中，九次会合诸侯，安</w:t>
      </w:r>
      <w:r>
        <w:rPr>
          <w:rFonts w:hint="eastAsia" w:ascii="Times New Roman" w:hAnsi="Times New Roman" w:cs="Times New Roman"/>
          <w:sz w:val="24"/>
          <w:szCs w:val="24"/>
        </w:rPr>
        <w:t>定国家边邑，而被国君赏赐乐器和乐队，魏绛多次辞让后才最终接受了。</w:t>
      </w:r>
    </w:p>
    <w:p w14:paraId="7F3B7E73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Arial" w:hAnsi="Arial" w:cs="Arial"/>
          <w:sz w:val="24"/>
          <w:szCs w:val="24"/>
          <w:lang w:eastAsia="zh-CN"/>
        </w:rPr>
        <w:t>（</w:t>
      </w:r>
      <w:r>
        <w:rPr>
          <w:rFonts w:hint="eastAsia" w:ascii="Arial" w:hAnsi="Arial" w:cs="Arial"/>
          <w:sz w:val="24"/>
          <w:szCs w:val="24"/>
          <w:lang w:val="en-US" w:eastAsia="zh-CN"/>
        </w:rPr>
        <w:t>4</w:t>
      </w:r>
      <w:r>
        <w:rPr>
          <w:rFonts w:hint="eastAsia" w:ascii="Arial" w:hAnsi="Arial" w:cs="Arial"/>
          <w:sz w:val="24"/>
          <w:szCs w:val="24"/>
          <w:lang w:eastAsia="zh-CN"/>
        </w:rPr>
        <w:t>）</w:t>
      </w:r>
      <w:r>
        <w:rPr>
          <w:rFonts w:ascii="Times New Roman" w:hAnsi="Times New Roman" w:cs="Times New Roman"/>
          <w:sz w:val="24"/>
          <w:szCs w:val="24"/>
        </w:rPr>
        <w:t>把文中画横线的句子翻译成现代汉语。</w:t>
      </w:r>
    </w:p>
    <w:p w14:paraId="7B0888FF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1.</w:t>
      </w:r>
      <w:r>
        <w:rPr>
          <w:rFonts w:ascii="Times New Roman" w:hAnsi="Times New Roman" w:cs="Times New Roman"/>
          <w:sz w:val="24"/>
          <w:szCs w:val="24"/>
        </w:rPr>
        <w:t>诸戎来请服，使魏庄子盟之，于是乎始复霸。</w:t>
      </w:r>
    </w:p>
    <w:p w14:paraId="6124EE73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dotted"/>
        </w:rPr>
        <w:t>译文：</w:t>
      </w:r>
      <w:r>
        <w:rPr>
          <w:rFonts w:ascii="Times New Roman" w:hAnsi="Times New Roman" w:cs="Times New Roman"/>
          <w:sz w:val="24"/>
          <w:szCs w:val="24"/>
        </w:rPr>
        <w:t>　</w:t>
      </w:r>
    </w:p>
    <w:p w14:paraId="28B7EBEF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　</w:t>
      </w:r>
    </w:p>
    <w:p w14:paraId="0F039002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2.</w:t>
      </w:r>
      <w:r>
        <w:rPr>
          <w:rFonts w:ascii="Times New Roman" w:hAnsi="Times New Roman" w:cs="Times New Roman"/>
          <w:sz w:val="24"/>
          <w:szCs w:val="24"/>
        </w:rPr>
        <w:t>或说悼公，悼公止。卒任魏绛政，使和戎、翟。</w:t>
      </w:r>
    </w:p>
    <w:p w14:paraId="42515C21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dotted"/>
        </w:rPr>
        <w:t>译</w:t>
      </w:r>
      <w:r>
        <w:rPr>
          <w:rFonts w:hint="eastAsia" w:ascii="Times New Roman" w:hAnsi="Times New Roman" w:cs="Times New Roman"/>
          <w:sz w:val="24"/>
          <w:szCs w:val="24"/>
          <w:u w:val="dotted"/>
        </w:rPr>
        <w:t>文：</w:t>
      </w:r>
      <w:r>
        <w:rPr>
          <w:rFonts w:ascii="Times New Roman" w:hAnsi="Times New Roman" w:cs="Times New Roman"/>
          <w:sz w:val="24"/>
          <w:szCs w:val="24"/>
        </w:rPr>
        <w:t>　</w:t>
      </w:r>
    </w:p>
    <w:p w14:paraId="6C40A7D4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　</w:t>
      </w:r>
    </w:p>
    <w:p w14:paraId="3F8EB417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Arial" w:hAnsi="Arial" w:cs="Arial"/>
          <w:sz w:val="24"/>
          <w:szCs w:val="24"/>
          <w:lang w:eastAsia="zh-CN"/>
        </w:rPr>
        <w:t>（</w:t>
      </w:r>
      <w:r>
        <w:rPr>
          <w:rFonts w:hint="eastAsia" w:ascii="Arial" w:hAnsi="Arial" w:cs="Arial"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sz w:val="24"/>
          <w:szCs w:val="24"/>
          <w:lang w:eastAsia="zh-CN"/>
        </w:rPr>
        <w:t>）</w:t>
      </w:r>
      <w:r>
        <w:rPr>
          <w:rFonts w:ascii="Times New Roman" w:hAnsi="Times New Roman" w:cs="Times New Roman"/>
          <w:sz w:val="24"/>
          <w:szCs w:val="24"/>
        </w:rPr>
        <w:t>晋悼公的谥号为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悼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，是取他英年早逝之意。《逸周书·谥法解》中曰：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年中早夭曰悼。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有人认为按照他的所作所为，应该给他更好的谥号。请依据以上材料，简要概括其理由。</w:t>
      </w:r>
    </w:p>
    <w:p w14:paraId="774FEB64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dotted"/>
        </w:rPr>
        <w:t>答：</w:t>
      </w:r>
      <w:r>
        <w:rPr>
          <w:rFonts w:ascii="Times New Roman" w:hAnsi="Times New Roman" w:cs="Times New Roman"/>
          <w:sz w:val="24"/>
          <w:szCs w:val="24"/>
        </w:rPr>
        <w:t>　</w:t>
      </w:r>
    </w:p>
    <w:p w14:paraId="4436056E">
      <w:pPr>
        <w:pStyle w:val="2"/>
        <w:tabs>
          <w:tab w:val="left" w:pos="4253"/>
        </w:tabs>
        <w:spacing w:line="360" w:lineRule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 w14:paraId="0156F6E7">
      <w:pPr>
        <w:pStyle w:val="2"/>
        <w:tabs>
          <w:tab w:val="left" w:pos="4253"/>
        </w:tabs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3.</w:t>
      </w:r>
      <w:r>
        <w:rPr>
          <w:rFonts w:hint="eastAsia" w:ascii="Times New Roman" w:hAnsi="Times New Roman" w:cs="Times New Roman"/>
          <w:sz w:val="24"/>
          <w:szCs w:val="24"/>
        </w:rPr>
        <w:t>阅读下面的文字，完成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cs="Times New Roman"/>
          <w:sz w:val="24"/>
          <w:szCs w:val="24"/>
        </w:rPr>
        <w:t>～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cs="Times New Roman"/>
          <w:sz w:val="24"/>
          <w:szCs w:val="24"/>
        </w:rPr>
        <w:t>题。</w:t>
      </w:r>
    </w:p>
    <w:p w14:paraId="2FD74ACE">
      <w:pPr>
        <w:pStyle w:val="2"/>
        <w:tabs>
          <w:tab w:val="left" w:pos="4253"/>
        </w:tabs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淄博市沂源县专门为符合条件的老年人建了244个爱心食堂，即长者食堂。年龄在60岁至69岁之间的老人，每餐只需支付两元钱，70岁至79岁老人一元钱，80岁以上免费。由于物美价廉，服务周到，一些食堂__A__。</w:t>
      </w:r>
    </w:p>
    <w:p w14:paraId="147CAC11">
      <w:pPr>
        <w:pStyle w:val="2"/>
        <w:tabs>
          <w:tab w:val="left" w:pos="4253"/>
        </w:tabs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“长者食堂”之所以火爆，是因为它解决了老人及其子女的午餐忧虑：既有效解决了老年人的就餐难题，让他们能够“食无忧”；又在一定程度上__B__，让他们少了后顾之忧。可谓一举多得！</w:t>
      </w:r>
    </w:p>
    <w:p w14:paraId="0749A5A4">
      <w:pPr>
        <w:pStyle w:val="2"/>
        <w:tabs>
          <w:tab w:val="left" w:pos="4253"/>
        </w:tabs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长者食堂作为公益性的养老服务设施，①本着“方便、价廉、互助、卫生”为原则，②通过政府主导，社会助力，③为社区(村)老年人提供多样化就餐服务。④从老人们对长者食堂的热情反应看，⑤长者食堂不仅仅是一个就餐的场所，⑥它还增强了老人们重新融入社会的群体归属感，⑦更加积极地面对老年生活。当然，⑧工作中难免有差强人意的地方，⑨彼此理解、互相呵护才是使长者食堂良性发展的正道。</w:t>
      </w:r>
    </w:p>
    <w:p w14:paraId="59B59AC3">
      <w:pPr>
        <w:pStyle w:val="2"/>
        <w:tabs>
          <w:tab w:val="left" w:pos="4253"/>
        </w:tabs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请在文中画横线处补写恰当的语句，使整段文字语意完整连贯，内容贴切，逻辑严密，每处不超过15个字。</w:t>
      </w:r>
    </w:p>
    <w:p w14:paraId="1F5E33A7">
      <w:pPr>
        <w:pStyle w:val="2"/>
        <w:tabs>
          <w:tab w:val="left" w:pos="4253"/>
        </w:tabs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答：　</w:t>
      </w:r>
    </w:p>
    <w:p w14:paraId="4E2EE111">
      <w:pPr>
        <w:pStyle w:val="2"/>
        <w:tabs>
          <w:tab w:val="left" w:pos="4253"/>
        </w:tabs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　</w:t>
      </w:r>
    </w:p>
    <w:p w14:paraId="02DF9B80">
      <w:pPr>
        <w:pStyle w:val="2"/>
        <w:tabs>
          <w:tab w:val="left" w:pos="4253"/>
        </w:tabs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）</w:t>
      </w:r>
      <w:r>
        <w:rPr>
          <w:rFonts w:hint="eastAsia" w:ascii="Times New Roman" w:hAnsi="Times New Roman" w:cs="Times New Roman"/>
          <w:sz w:val="24"/>
          <w:szCs w:val="24"/>
        </w:rPr>
        <w:t>文中第三段有三处表述不当，请指出其序号并做修改，使语言表达准确流畅，逻辑严密，不得改变原意。</w:t>
      </w:r>
    </w:p>
    <w:p w14:paraId="59F24DBA">
      <w:pPr>
        <w:pStyle w:val="2"/>
        <w:tabs>
          <w:tab w:val="left" w:pos="4253"/>
        </w:tabs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答：　</w:t>
      </w:r>
    </w:p>
    <w:p w14:paraId="039D909A">
      <w:pPr>
        <w:pStyle w:val="2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　</w:t>
      </w:r>
    </w:p>
    <w:p w14:paraId="7519FAF4">
      <w:pPr>
        <w:numPr>
          <w:ilvl w:val="0"/>
          <w:numId w:val="0"/>
        </w:numPr>
        <w:ind w:leftChars="0"/>
        <w:rPr>
          <w:rFonts w:hint="default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7C2A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EC5B5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EC5B5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横峰中学学生寒假作业（语文） 编号：hfzx  使用时间:   编写人：谢骏驰  审核人：程亚超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10158D6"/>
    <w:rsid w:val="0C2062B0"/>
    <w:rsid w:val="11C937C4"/>
    <w:rsid w:val="18EA07E2"/>
    <w:rsid w:val="21A34113"/>
    <w:rsid w:val="23016F7A"/>
    <w:rsid w:val="238C4FCD"/>
    <w:rsid w:val="3D5D33B6"/>
    <w:rsid w:val="42984EF4"/>
    <w:rsid w:val="4DC90020"/>
    <w:rsid w:val="4E8956D1"/>
    <w:rsid w:val="4EED488B"/>
    <w:rsid w:val="5FEF7F48"/>
    <w:rsid w:val="7107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2769</Words>
  <Characters>2807</Characters>
  <Lines>0</Lines>
  <Paragraphs>0</Paragraphs>
  <TotalTime>3</TotalTime>
  <ScaleCrop>false</ScaleCrop>
  <LinksUpToDate>false</LinksUpToDate>
  <CharactersWithSpaces>2989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Mr谢</cp:lastModifiedBy>
  <dcterms:modified xsi:type="dcterms:W3CDTF">2025-01-08T06:40:13Z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FD4F0DC6DFFA49179C591C86F0706354_13</vt:lpwstr>
  </property>
  <property fmtid="{D5CDD505-2E9C-101B-9397-08002B2CF9AE}" pid="4" name="KSOTemplateDocerSaveRecord">
    <vt:lpwstr>eyJoZGlkIjoiOGJiZjBhZmY0YjZhNzkwYTZjNzMyNzk0MDg3NDRlZmYiLCJ1c2VySWQiOiIyMzczNzA2NTcifQ==</vt:lpwstr>
  </property>
</Properties>
</file>