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keepNext w:val="0"/>
        <w:keepLines w:val="0"/>
        <w:pageBreakBefore w:val="0"/>
        <w:numPr>
          <w:ilvl w:val="0"/>
          <w:numId w:val="0"/>
        </w:numPr>
        <w:kinsoku/>
        <w:wordWrap/>
        <w:overflowPunct/>
        <w:topLinePunct w:val="0"/>
        <w:autoSpaceDE/>
        <w:autoSpaceDN/>
        <w:bidi w:val="0"/>
        <w:snapToGrid/>
        <w:spacing w:line="240" w:lineRule="auto"/>
        <w:ind w:firstLine="320" w:firstLineChars="100"/>
        <w:rPr>
          <w:rFonts w:hint="default"/>
          <w:sz w:val="24"/>
          <w:szCs w:val="24"/>
          <w:shd w:val="clear" w:color="auto" w:fill="auto"/>
          <w:lang w:val="en-US" w:eastAsia="zh-CN"/>
        </w:rPr>
      </w:pPr>
      <w:r>
        <w:rPr>
          <w:rFonts w:hint="eastAsia"/>
          <w:sz w:val="32"/>
          <w:szCs w:val="32"/>
          <w:shd w:val="clear" w:color="auto" w:fill="auto"/>
          <w:lang w:val="en-US" w:eastAsia="zh-CN"/>
        </w:rPr>
        <w:t xml:space="preserve">地理学科寒假作业（复习）   Day 6   </w:t>
      </w:r>
      <w:r>
        <w:rPr>
          <w:rFonts w:hint="eastAsia"/>
          <w:sz w:val="24"/>
          <w:szCs w:val="24"/>
          <w:shd w:val="clear" w:color="auto" w:fill="auto"/>
          <w:lang w:val="en-US" w:eastAsia="zh-CN"/>
        </w:rPr>
        <w:t xml:space="preserve">(练习时长：40分钟) </w:t>
      </w:r>
    </w:p>
    <w:p w14:paraId="5F1410D1">
      <w:pPr>
        <w:keepNext w:val="0"/>
        <w:keepLines w:val="0"/>
        <w:pageBreakBefore w:val="0"/>
        <w:numPr>
          <w:ilvl w:val="0"/>
          <w:numId w:val="0"/>
        </w:numPr>
        <w:kinsoku/>
        <w:wordWrap/>
        <w:overflowPunct/>
        <w:topLinePunct w:val="0"/>
        <w:autoSpaceDE/>
        <w:autoSpaceDN/>
        <w:bidi w:val="0"/>
        <w:snapToGrid/>
        <w:spacing w:line="240" w:lineRule="auto"/>
        <w:ind w:firstLine="960" w:firstLineChars="300"/>
        <w:rPr>
          <w:rFonts w:hint="eastAsia"/>
          <w:sz w:val="32"/>
          <w:szCs w:val="32"/>
          <w:shd w:val="clear" w:color="auto" w:fill="auto"/>
          <w:lang w:val="en-US" w:eastAsia="zh-CN"/>
        </w:rPr>
      </w:pPr>
      <w:r>
        <w:rPr>
          <w:rFonts w:hint="eastAsia"/>
          <w:sz w:val="32"/>
          <w:szCs w:val="32"/>
          <w:shd w:val="clear" w:color="auto" w:fill="auto"/>
          <w:lang w:val="en-US" w:eastAsia="zh-CN"/>
        </w:rPr>
        <w:t>姓名：              完成评价：</w:t>
      </w:r>
    </w:p>
    <w:p w14:paraId="78C53EF1">
      <w:pPr>
        <w:keepNext w:val="0"/>
        <w:keepLines w:val="0"/>
        <w:pageBreakBefore w:val="0"/>
        <w:numPr>
          <w:ilvl w:val="0"/>
          <w:numId w:val="1"/>
        </w:numPr>
        <w:kinsoku/>
        <w:wordWrap/>
        <w:overflowPunct/>
        <w:topLinePunct w:val="0"/>
        <w:autoSpaceDE/>
        <w:autoSpaceDN/>
        <w:bidi w:val="0"/>
        <w:snapToGrid/>
        <w:spacing w:line="240" w:lineRule="auto"/>
        <w:rPr>
          <w:rFonts w:hint="eastAsia"/>
          <w:shd w:val="clear" w:color="auto" w:fill="auto"/>
          <w:lang w:val="en-US" w:eastAsia="zh-CN"/>
        </w:rPr>
      </w:pPr>
      <w:r>
        <w:rPr>
          <w:rFonts w:hint="eastAsia"/>
          <w:sz w:val="32"/>
          <w:szCs w:val="32"/>
          <w:shd w:val="clear" w:color="auto" w:fill="auto"/>
          <w:lang w:val="en-US" w:eastAsia="zh-CN"/>
        </w:rPr>
        <w:t>核心知识的归纳总结和梳理模块</w:t>
      </w:r>
    </w:p>
    <w:p w14:paraId="41B443B9">
      <w:pPr>
        <w:numPr>
          <w:ilvl w:val="0"/>
          <w:numId w:val="0"/>
        </w:numPr>
        <w:jc w:val="both"/>
        <w:rPr>
          <w:rFonts w:hint="eastAsia"/>
          <w:lang w:val="en-US" w:eastAsia="zh-CN"/>
        </w:rPr>
      </w:pPr>
      <w:r>
        <w:rPr>
          <w:rFonts w:hint="eastAsia"/>
          <w:sz w:val="24"/>
          <w:szCs w:val="24"/>
          <w:lang w:val="en-US" w:eastAsia="zh-CN"/>
        </w:rPr>
        <w:t>(一)</w:t>
      </w:r>
      <w:r>
        <w:rPr>
          <w:rFonts w:hint="eastAsia"/>
          <w:lang w:val="en-US" w:eastAsia="zh-CN"/>
        </w:rPr>
        <w:t>从城市辐射范围的角度来看城市的发展</w:t>
      </w:r>
    </w:p>
    <w:p w14:paraId="624DC7A2">
      <w:pPr>
        <w:numPr>
          <w:ilvl w:val="0"/>
          <w:numId w:val="2"/>
        </w:numPr>
        <w:jc w:val="both"/>
        <w:rPr>
          <w:rFonts w:hint="default"/>
          <w:lang w:val="en-US" w:eastAsia="zh-CN"/>
        </w:rPr>
      </w:pPr>
      <w:r>
        <w:rPr>
          <w:rFonts w:hint="eastAsia"/>
          <w:lang w:val="en-US" w:eastAsia="zh-CN"/>
        </w:rPr>
        <w:t>区域居中位置的城市，与周边地区联系方便，有利于扩大其腹地范围，促进城市的发展；</w:t>
      </w:r>
    </w:p>
    <w:p w14:paraId="430FEF1E">
      <w:pPr>
        <w:numPr>
          <w:ilvl w:val="0"/>
          <w:numId w:val="2"/>
        </w:numPr>
        <w:ind w:left="0" w:leftChars="0" w:firstLine="0" w:firstLineChars="0"/>
        <w:jc w:val="both"/>
        <w:rPr>
          <w:rFonts w:hint="default"/>
          <w:sz w:val="24"/>
          <w:szCs w:val="24"/>
          <w:lang w:val="en-US" w:eastAsia="zh-CN"/>
        </w:rPr>
      </w:pPr>
      <w:r>
        <w:rPr>
          <w:rFonts w:hint="eastAsia"/>
          <w:lang w:val="en-US" w:eastAsia="zh-CN"/>
        </w:rPr>
        <w:t>城市某种功能的集聚、发展，级别的提升（交通集散、行政管理、工业生产、商业贸易、旅游业、教育科研、文化创新等），使该功能的辐射范围扩大，为城市带来大量客流和物流，并带动城市其它功能的发展与提升，从而扩大城市腹地范围，促进城市的发展。</w:t>
      </w:r>
    </w:p>
    <w:p w14:paraId="16366B07">
      <w:pPr>
        <w:keepNext w:val="0"/>
        <w:keepLines w:val="0"/>
        <w:pageBreakBefore w:val="0"/>
        <w:numPr>
          <w:ilvl w:val="0"/>
          <w:numId w:val="1"/>
        </w:numPr>
        <w:kinsoku/>
        <w:wordWrap/>
        <w:overflowPunct/>
        <w:topLinePunct w:val="0"/>
        <w:autoSpaceDE/>
        <w:autoSpaceDN/>
        <w:bidi w:val="0"/>
        <w:snapToGrid/>
        <w:spacing w:line="240" w:lineRule="auto"/>
        <w:ind w:left="0" w:leftChars="0" w:firstLine="0" w:firstLineChars="0"/>
        <w:rPr>
          <w:rFonts w:hint="default"/>
          <w:sz w:val="32"/>
          <w:szCs w:val="32"/>
          <w:shd w:val="clear" w:color="auto" w:fill="auto"/>
          <w:lang w:val="en-US" w:eastAsia="zh-CN"/>
        </w:rPr>
      </w:pPr>
      <w:r>
        <w:rPr>
          <w:rFonts w:hint="eastAsia"/>
          <w:sz w:val="32"/>
          <w:szCs w:val="32"/>
          <w:shd w:val="clear" w:color="auto" w:fill="auto"/>
          <w:lang w:val="en-US" w:eastAsia="zh-CN"/>
        </w:rPr>
        <w:t>练习模块</w:t>
      </w:r>
    </w:p>
    <w:p w14:paraId="662692D8">
      <w:pPr>
        <w:keepNext w:val="0"/>
        <w:keepLines w:val="0"/>
        <w:pageBreakBefore w:val="0"/>
        <w:numPr>
          <w:ilvl w:val="0"/>
          <w:numId w:val="3"/>
        </w:numPr>
        <w:kinsoku/>
        <w:wordWrap/>
        <w:overflowPunct/>
        <w:topLinePunct w:val="0"/>
        <w:autoSpaceDE/>
        <w:autoSpaceDN/>
        <w:bidi w:val="0"/>
        <w:snapToGrid/>
        <w:spacing w:line="240" w:lineRule="auto"/>
        <w:rPr>
          <w:rFonts w:hint="eastAsia"/>
          <w:b/>
          <w:shd w:val="clear" w:color="auto" w:fill="auto"/>
        </w:rPr>
      </w:pPr>
      <w:r>
        <w:rPr>
          <w:rFonts w:hint="eastAsia"/>
          <w:b/>
          <w:shd w:val="clear" w:color="auto" w:fill="auto"/>
        </w:rPr>
        <w:t>单选题</w:t>
      </w:r>
    </w:p>
    <w:p w14:paraId="52D0FE0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 xml:space="preserve">网络城市指的是两个或更多的原先彼此独立但存在潜在功能互补的城市，借助于快速高效的交通走廊和通信设施连接起来、彼此尽力合作而形成的富有创造力的城市集合体。 据此完成 </w:t>
      </w:r>
      <w:r>
        <w:rPr>
          <w:rFonts w:hint="eastAsia" w:ascii="宋体" w:hAnsi="宋体" w:eastAsia="宋体" w:cs="宋体"/>
          <w:b w:val="0"/>
          <w:i w:val="0"/>
          <w:caps w:val="0"/>
          <w:color w:val="auto"/>
          <w:spacing w:val="0"/>
          <w:sz w:val="21"/>
          <w:szCs w:val="21"/>
          <w:shd w:val="clear" w:color="auto" w:fill="FFFFFF"/>
          <w:lang w:val="en-US" w:eastAsia="zh-CN"/>
        </w:rPr>
        <w:t>1-2</w:t>
      </w:r>
      <w:r>
        <w:rPr>
          <w:rFonts w:hint="eastAsia" w:ascii="宋体" w:hAnsi="宋体" w:eastAsia="宋体" w:cs="宋体"/>
          <w:b w:val="0"/>
          <w:i w:val="0"/>
          <w:caps w:val="0"/>
          <w:color w:val="auto"/>
          <w:spacing w:val="0"/>
          <w:sz w:val="21"/>
          <w:szCs w:val="21"/>
          <w:shd w:val="clear" w:color="auto" w:fill="FFFFFF"/>
        </w:rPr>
        <w:t xml:space="preserve"> 题。 </w:t>
      </w:r>
    </w:p>
    <w:p w14:paraId="3E3D59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drawing>
          <wp:inline distT="0" distB="0" distL="114300" distR="114300">
            <wp:extent cx="4822190" cy="1571625"/>
            <wp:effectExtent l="0" t="0" r="3810" b="317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6"/>
                    <a:stretch>
                      <a:fillRect/>
                    </a:stretch>
                  </pic:blipFill>
                  <pic:spPr>
                    <a:xfrm>
                      <a:off x="0" y="0"/>
                      <a:ext cx="4822190" cy="1571625"/>
                    </a:xfrm>
                    <a:prstGeom prst="rect">
                      <a:avLst/>
                    </a:prstGeom>
                    <a:noFill/>
                    <a:ln>
                      <a:noFill/>
                    </a:ln>
                  </pic:spPr>
                </pic:pic>
              </a:graphicData>
            </a:graphic>
          </wp:inline>
        </w:drawing>
      </w:r>
    </w:p>
    <w:p w14:paraId="6621135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lang w:val="en-US" w:eastAsia="zh-CN"/>
        </w:rPr>
        <w:t>1</w:t>
      </w:r>
      <w:r>
        <w:rPr>
          <w:rFonts w:hint="eastAsia" w:ascii="宋体" w:hAnsi="宋体" w:eastAsia="宋体" w:cs="宋体"/>
          <w:b w:val="0"/>
          <w:i w:val="0"/>
          <w:caps w:val="0"/>
          <w:color w:val="auto"/>
          <w:spacing w:val="0"/>
          <w:sz w:val="21"/>
          <w:szCs w:val="21"/>
          <w:shd w:val="clear" w:color="auto" w:fill="FFFFFF"/>
        </w:rPr>
        <w:t>.图乙中显示的目前长株潭城市群发展的特点是（</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w:t>
      </w:r>
    </w:p>
    <w:p w14:paraId="3E18248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A.中小城镇数量多，城市化水平高</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B.特大城市发展突出，小城镇发展不足</w:t>
      </w:r>
    </w:p>
    <w:p w14:paraId="4238AF0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C.没有大城市，城市之间没有联系</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D.大城市数量少，带动区域发展作用不明显</w:t>
      </w:r>
    </w:p>
    <w:p w14:paraId="65D4437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lang w:val="en-US" w:eastAsia="zh-CN"/>
        </w:rPr>
        <w:t>2</w:t>
      </w:r>
      <w:r>
        <w:rPr>
          <w:rFonts w:hint="eastAsia" w:ascii="宋体" w:hAnsi="宋体" w:eastAsia="宋体" w:cs="宋体"/>
          <w:b w:val="0"/>
          <w:i w:val="0"/>
          <w:caps w:val="0"/>
          <w:color w:val="auto"/>
          <w:spacing w:val="0"/>
          <w:sz w:val="21"/>
          <w:szCs w:val="21"/>
          <w:shd w:val="clear" w:color="auto" w:fill="FFFFFF"/>
        </w:rPr>
        <w:t>.根据“网络城市”理论，下列不属于促进长株潭城市群发展措施的是（</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w:t>
      </w:r>
    </w:p>
    <w:p w14:paraId="797FA67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A.大力发展中小城市，增加节点城市</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B.加速大城市发展，以大城市带动区域发展</w:t>
      </w:r>
    </w:p>
    <w:p w14:paraId="6C0C197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C.加大交通、通信等基础设施建设</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D.共同承接东部产业转移，大力发展劳动密集型产业</w:t>
      </w:r>
    </w:p>
    <w:p w14:paraId="471C062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图为浙江省城镇空间结构规划图，完成3-4题。</w:t>
      </w:r>
    </w:p>
    <w:p w14:paraId="0FEA3CE5">
      <w:pPr>
        <w:keepNext w:val="0"/>
        <w:keepLines w:val="0"/>
        <w:widowControl/>
        <w:suppressLineNumbers w:val="0"/>
        <w:spacing w:line="360" w:lineRule="auto"/>
        <w:jc w:val="center"/>
        <w:rPr>
          <w:rFonts w:hint="eastAsia" w:ascii="宋体" w:hAnsi="宋体" w:eastAsia="宋体" w:cs="宋体"/>
          <w:b w:val="0"/>
          <w:i w:val="0"/>
          <w:caps w:val="0"/>
          <w:color w:val="auto"/>
          <w:spacing w:val="0"/>
          <w:sz w:val="21"/>
          <w:szCs w:val="21"/>
        </w:rPr>
      </w:pPr>
      <w:r>
        <w:rPr>
          <w:rFonts w:ascii="宋体" w:hAnsi="宋体" w:eastAsia="宋体" w:cs="宋体"/>
          <w:color w:val="auto"/>
          <w:kern w:val="0"/>
          <w:sz w:val="24"/>
          <w:szCs w:val="24"/>
          <w:lang w:val="en-US" w:eastAsia="zh-CN" w:bidi="ar"/>
        </w:rPr>
        <w:drawing>
          <wp:inline distT="0" distB="0" distL="114300" distR="114300">
            <wp:extent cx="1475740" cy="1408430"/>
            <wp:effectExtent l="0" t="0" r="10160" b="127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7"/>
                    <a:stretch>
                      <a:fillRect/>
                    </a:stretch>
                  </pic:blipFill>
                  <pic:spPr>
                    <a:xfrm>
                      <a:off x="0" y="0"/>
                      <a:ext cx="1475740" cy="1408430"/>
                    </a:xfrm>
                    <a:prstGeom prst="rect">
                      <a:avLst/>
                    </a:prstGeom>
                    <a:noFill/>
                    <a:ln>
                      <a:noFill/>
                    </a:ln>
                  </pic:spPr>
                </pic:pic>
              </a:graphicData>
            </a:graphic>
          </wp:inline>
        </w:drawing>
      </w:r>
    </w:p>
    <w:p w14:paraId="3570705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3.与浙中城市群相比，环杭州湾城市群的区位优势是</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w:t>
      </w:r>
    </w:p>
    <w:p w14:paraId="2B16F3D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①地理位置优越，上海辐射带动    ②海陆交通便利，协作条件良好</w:t>
      </w:r>
    </w:p>
    <w:p w14:paraId="5ADB70D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③矿产资源丰富，第二产业发达    ④水系河网密布，谁能资源丰富</w:t>
      </w:r>
    </w:p>
    <w:p w14:paraId="1B8E92E1">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A.①②       B.②③         C.③④          D.①④</w:t>
      </w:r>
    </w:p>
    <w:p w14:paraId="37C8D8D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4.为缩小浙江省内区域发展差异，2020年前应重点加快发展的城市群是</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w:t>
      </w:r>
    </w:p>
    <w:p w14:paraId="410CC7C9">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kern w:val="0"/>
          <w:sz w:val="21"/>
          <w:szCs w:val="21"/>
          <w:shd w:val="clear" w:color="auto" w:fill="FFFFFF"/>
          <w:lang w:val="en-US" w:eastAsia="zh-CN" w:bidi="ar"/>
        </w:rPr>
      </w:pPr>
      <w:r>
        <w:rPr>
          <w:rFonts w:hint="eastAsia" w:ascii="宋体" w:hAnsi="宋体" w:eastAsia="宋体" w:cs="宋体"/>
          <w:b w:val="0"/>
          <w:i w:val="0"/>
          <w:caps w:val="0"/>
          <w:color w:val="auto"/>
          <w:spacing w:val="0"/>
          <w:kern w:val="0"/>
          <w:sz w:val="21"/>
          <w:szCs w:val="21"/>
          <w:shd w:val="clear" w:color="auto" w:fill="FFFFFF"/>
          <w:lang w:val="en-US" w:eastAsia="zh-CN" w:bidi="ar"/>
        </w:rPr>
        <w:t>A.环杭州湾城市群     B.浙中城市群      C.温台沿海城市群     D.同步发展</w:t>
      </w:r>
    </w:p>
    <w:p w14:paraId="438CF0A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rPr>
          <w:rFonts w:hint="eastAsia" w:ascii="宋体" w:hAnsi="宋体" w:eastAsia="宋体" w:cs="宋体"/>
          <w:b/>
          <w:bCs/>
          <w:color w:val="FF0000"/>
          <w:lang w:val="en-US" w:eastAsia="zh-CN"/>
        </w:rPr>
      </w:pPr>
      <w:r>
        <w:rPr>
          <w:rFonts w:hint="eastAsia" w:ascii="宋体" w:hAnsi="宋体" w:eastAsia="宋体" w:cs="宋体"/>
          <w:b w:val="0"/>
          <w:i w:val="0"/>
          <w:caps w:val="0"/>
          <w:color w:val="auto"/>
          <w:spacing w:val="0"/>
          <w:kern w:val="0"/>
          <w:sz w:val="21"/>
          <w:szCs w:val="21"/>
          <w:shd w:val="clear" w:color="auto" w:fill="FFFFFF"/>
          <w:lang w:val="en-US" w:eastAsia="zh-CN" w:bidi="ar"/>
        </w:rPr>
        <w:t>研究城市带内各城市间的经济、人口联系，对于规划区域发展具有重要的认识价值和实践意义。下图示意2007年皖江城市带（不包括六安市的金安区和舒城县）内城市经济联系和城市带内部分区域人口流动方向。读图，完成下面小题。 </w:t>
      </w:r>
      <w:r>
        <w:rPr>
          <w:rFonts w:hint="eastAsia" w:ascii="宋体" w:hAnsi="宋体" w:eastAsia="宋体" w:cs="宋体"/>
          <w:b w:val="0"/>
          <w:i w:val="0"/>
          <w:caps w:val="0"/>
          <w:color w:val="auto"/>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auto"/>
          <w:spacing w:val="0"/>
          <w:kern w:val="0"/>
          <w:sz w:val="21"/>
          <w:szCs w:val="21"/>
          <w:shd w:val="clear" w:color="auto" w:fill="FFFFFF"/>
          <w:lang w:val="en-US" w:eastAsia="zh-CN" w:bidi="ar"/>
        </w:rPr>
        <w:t xml:space="preserve">                        </w:t>
      </w:r>
      <w:r>
        <w:rPr>
          <w:rFonts w:ascii="宋体" w:hAnsi="宋体" w:eastAsia="宋体" w:cs="宋体"/>
          <w:color w:val="auto"/>
          <w:sz w:val="24"/>
          <w:szCs w:val="24"/>
        </w:rPr>
        <w:drawing>
          <wp:inline distT="0" distB="0" distL="114300" distR="114300">
            <wp:extent cx="1943735" cy="1972945"/>
            <wp:effectExtent l="0" t="0" r="12065" b="8255"/>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8"/>
                    <a:stretch>
                      <a:fillRect/>
                    </a:stretch>
                  </pic:blipFill>
                  <pic:spPr>
                    <a:xfrm>
                      <a:off x="0" y="0"/>
                      <a:ext cx="1943735" cy="1972945"/>
                    </a:xfrm>
                    <a:prstGeom prst="rect">
                      <a:avLst/>
                    </a:prstGeom>
                    <a:noFill/>
                    <a:ln>
                      <a:noFill/>
                    </a:ln>
                  </pic:spPr>
                </pic:pic>
              </a:graphicData>
            </a:graphic>
          </wp:inline>
        </w:drawing>
      </w:r>
      <w:r>
        <w:rPr>
          <w:rFonts w:hint="eastAsia" w:ascii="宋体" w:hAnsi="宋体" w:eastAsia="宋体" w:cs="宋体"/>
          <w:b w:val="0"/>
          <w:i w:val="0"/>
          <w:caps w:val="0"/>
          <w:color w:val="auto"/>
          <w:spacing w:val="0"/>
          <w:kern w:val="0"/>
          <w:sz w:val="21"/>
          <w:szCs w:val="21"/>
          <w:shd w:val="clear" w:color="auto" w:fill="FFFFFF"/>
          <w:lang w:val="en-US" w:eastAsia="zh-CN" w:bidi="ar"/>
        </w:rPr>
        <w:t> </w:t>
      </w:r>
      <w:r>
        <w:rPr>
          <w:rFonts w:hint="eastAsia" w:ascii="宋体" w:hAnsi="宋体" w:eastAsia="宋体" w:cs="宋体"/>
          <w:b w:val="0"/>
          <w:i w:val="0"/>
          <w:caps w:val="0"/>
          <w:color w:val="auto"/>
          <w:spacing w:val="0"/>
          <w:kern w:val="0"/>
          <w:sz w:val="21"/>
          <w:szCs w:val="21"/>
          <w:shd w:val="clear" w:color="auto" w:fill="FFFFFF"/>
          <w:lang w:val="en-US" w:eastAsia="zh-CN" w:bidi="ar"/>
        </w:rPr>
        <w:br w:type="textWrapping"/>
      </w:r>
    </w:p>
    <w:p w14:paraId="035956E8">
      <w:pPr>
        <w:keepNext w:val="0"/>
        <w:keepLines w:val="0"/>
        <w:widowControl/>
        <w:suppressLineNumbers w:val="0"/>
        <w:spacing w:line="360" w:lineRule="auto"/>
        <w:jc w:val="left"/>
        <w:rPr>
          <w:rFonts w:hint="eastAsia" w:ascii="宋体" w:hAnsi="宋体" w:eastAsia="宋体" w:cs="宋体"/>
          <w:b w:val="0"/>
          <w:i w:val="0"/>
          <w:caps w:val="0"/>
          <w:color w:val="auto"/>
          <w:spacing w:val="0"/>
          <w:kern w:val="0"/>
          <w:sz w:val="21"/>
          <w:szCs w:val="21"/>
          <w:shd w:val="clear" w:color="auto" w:fill="FFFFFF"/>
          <w:lang w:val="en-US" w:eastAsia="zh-CN" w:bidi="ar"/>
        </w:rPr>
      </w:pPr>
      <w:r>
        <w:rPr>
          <w:rFonts w:hint="eastAsia" w:ascii="宋体" w:hAnsi="宋体" w:eastAsia="宋体" w:cs="宋体"/>
          <w:b w:val="0"/>
          <w:i w:val="0"/>
          <w:caps w:val="0"/>
          <w:color w:val="auto"/>
          <w:spacing w:val="0"/>
          <w:kern w:val="0"/>
          <w:sz w:val="21"/>
          <w:szCs w:val="21"/>
          <w:shd w:val="clear" w:color="auto" w:fill="FFFFFF"/>
          <w:lang w:val="en-US" w:eastAsia="zh-CN" w:bidi="ar"/>
        </w:rPr>
        <w:t>5.皖江城市带内</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w:t>
      </w:r>
    </w:p>
    <w:p w14:paraId="6AB66A9F">
      <w:pPr>
        <w:keepNext w:val="0"/>
        <w:keepLines w:val="0"/>
        <w:widowControl/>
        <w:suppressLineNumbers w:val="0"/>
        <w:spacing w:line="360" w:lineRule="auto"/>
        <w:jc w:val="left"/>
        <w:rPr>
          <w:rFonts w:hint="eastAsia" w:ascii="宋体" w:hAnsi="宋体" w:eastAsia="宋体" w:cs="宋体"/>
          <w:b w:val="0"/>
          <w:i w:val="0"/>
          <w:caps w:val="0"/>
          <w:color w:val="auto"/>
          <w:spacing w:val="0"/>
          <w:kern w:val="0"/>
          <w:sz w:val="21"/>
          <w:szCs w:val="21"/>
          <w:shd w:val="clear" w:color="auto" w:fill="FFFFFF"/>
          <w:lang w:val="en-US" w:eastAsia="zh-CN" w:bidi="ar"/>
        </w:rPr>
      </w:pPr>
      <w:r>
        <w:rPr>
          <w:rFonts w:hint="eastAsia" w:ascii="宋体" w:hAnsi="宋体" w:eastAsia="宋体" w:cs="宋体"/>
          <w:b w:val="0"/>
          <w:i w:val="0"/>
          <w:caps w:val="0"/>
          <w:color w:val="auto"/>
          <w:spacing w:val="0"/>
          <w:kern w:val="0"/>
          <w:sz w:val="21"/>
          <w:szCs w:val="21"/>
          <w:shd w:val="clear" w:color="auto" w:fill="FFFFFF"/>
          <w:lang w:val="en-US" w:eastAsia="zh-CN" w:bidi="ar"/>
        </w:rPr>
        <w:t>A．各城市对外经济联系程度比较均衡</w:t>
      </w:r>
    </w:p>
    <w:p w14:paraId="7AC3C961">
      <w:pPr>
        <w:keepNext w:val="0"/>
        <w:keepLines w:val="0"/>
        <w:widowControl/>
        <w:suppressLineNumbers w:val="0"/>
        <w:spacing w:line="360" w:lineRule="auto"/>
        <w:jc w:val="left"/>
        <w:rPr>
          <w:rFonts w:hint="eastAsia" w:ascii="宋体" w:hAnsi="宋体" w:eastAsia="宋体" w:cs="宋体"/>
          <w:b w:val="0"/>
          <w:i w:val="0"/>
          <w:caps w:val="0"/>
          <w:color w:val="auto"/>
          <w:spacing w:val="0"/>
          <w:kern w:val="0"/>
          <w:sz w:val="21"/>
          <w:szCs w:val="21"/>
          <w:shd w:val="clear" w:color="auto" w:fill="FFFFFF"/>
          <w:lang w:val="en-US" w:eastAsia="zh-CN" w:bidi="ar"/>
        </w:rPr>
      </w:pPr>
      <w:r>
        <w:rPr>
          <w:rFonts w:hint="eastAsia" w:ascii="宋体" w:hAnsi="宋体" w:eastAsia="宋体" w:cs="宋体"/>
          <w:b w:val="0"/>
          <w:i w:val="0"/>
          <w:caps w:val="0"/>
          <w:color w:val="auto"/>
          <w:spacing w:val="0"/>
          <w:kern w:val="0"/>
          <w:sz w:val="21"/>
          <w:szCs w:val="21"/>
          <w:shd w:val="clear" w:color="auto" w:fill="FFFFFF"/>
          <w:lang w:val="en-US" w:eastAsia="zh-CN" w:bidi="ar"/>
        </w:rPr>
        <w:t>B．合肥对整个城市带内经济都具有强辐射与带动力</w:t>
      </w:r>
    </w:p>
    <w:p w14:paraId="36D63B13">
      <w:pPr>
        <w:keepNext w:val="0"/>
        <w:keepLines w:val="0"/>
        <w:widowControl/>
        <w:suppressLineNumbers w:val="0"/>
        <w:spacing w:line="360" w:lineRule="auto"/>
        <w:jc w:val="left"/>
        <w:rPr>
          <w:rFonts w:hint="eastAsia" w:ascii="宋体" w:hAnsi="宋体" w:eastAsia="宋体" w:cs="宋体"/>
          <w:b w:val="0"/>
          <w:i w:val="0"/>
          <w:caps w:val="0"/>
          <w:color w:val="auto"/>
          <w:spacing w:val="0"/>
          <w:kern w:val="0"/>
          <w:sz w:val="21"/>
          <w:szCs w:val="21"/>
          <w:shd w:val="clear" w:color="auto" w:fill="FFFFFF"/>
          <w:lang w:val="en-US" w:eastAsia="zh-CN" w:bidi="ar"/>
        </w:rPr>
      </w:pPr>
      <w:r>
        <w:rPr>
          <w:rFonts w:hint="eastAsia" w:ascii="宋体" w:hAnsi="宋体" w:eastAsia="宋体" w:cs="宋体"/>
          <w:b w:val="0"/>
          <w:i w:val="0"/>
          <w:caps w:val="0"/>
          <w:color w:val="auto"/>
          <w:spacing w:val="0"/>
          <w:kern w:val="0"/>
          <w:sz w:val="21"/>
          <w:szCs w:val="21"/>
          <w:shd w:val="clear" w:color="auto" w:fill="FFFFFF"/>
          <w:lang w:val="en-US" w:eastAsia="zh-CN" w:bidi="ar"/>
        </w:rPr>
        <w:t>C．滁州市的经济发展水平高于合肥市</w:t>
      </w:r>
    </w:p>
    <w:p w14:paraId="767F4F40">
      <w:pPr>
        <w:keepNext w:val="0"/>
        <w:keepLines w:val="0"/>
        <w:widowControl/>
        <w:suppressLineNumbers w:val="0"/>
        <w:spacing w:line="360" w:lineRule="auto"/>
        <w:jc w:val="left"/>
        <w:rPr>
          <w:rFonts w:hint="eastAsia" w:ascii="宋体" w:hAnsi="宋体" w:eastAsia="宋体" w:cs="宋体"/>
          <w:b w:val="0"/>
          <w:i w:val="0"/>
          <w:caps w:val="0"/>
          <w:color w:val="auto"/>
          <w:spacing w:val="0"/>
          <w:kern w:val="0"/>
          <w:sz w:val="21"/>
          <w:szCs w:val="21"/>
          <w:shd w:val="clear" w:color="auto" w:fill="FFFFFF"/>
          <w:lang w:val="en-US" w:eastAsia="zh-CN" w:bidi="ar"/>
        </w:rPr>
      </w:pPr>
      <w:r>
        <w:rPr>
          <w:rFonts w:hint="eastAsia" w:ascii="宋体" w:hAnsi="宋体" w:eastAsia="宋体" w:cs="宋体"/>
          <w:b w:val="0"/>
          <w:i w:val="0"/>
          <w:caps w:val="0"/>
          <w:color w:val="auto"/>
          <w:spacing w:val="0"/>
          <w:kern w:val="0"/>
          <w:sz w:val="21"/>
          <w:szCs w:val="21"/>
          <w:shd w:val="clear" w:color="auto" w:fill="FFFFFF"/>
          <w:lang w:val="en-US" w:eastAsia="zh-CN" w:bidi="ar"/>
        </w:rPr>
        <w:t>D．形成以合肥、芜湖为中心的两个扇面形经济联系区域</w:t>
      </w:r>
    </w:p>
    <w:p w14:paraId="754E6DB2">
      <w:pPr>
        <w:keepNext w:val="0"/>
        <w:keepLines w:val="0"/>
        <w:widowControl/>
        <w:numPr>
          <w:ilvl w:val="0"/>
          <w:numId w:val="4"/>
        </w:numPr>
        <w:suppressLineNumbers w:val="0"/>
        <w:spacing w:line="360" w:lineRule="auto"/>
        <w:jc w:val="left"/>
        <w:rPr>
          <w:rFonts w:hint="eastAsia" w:ascii="宋体" w:hAnsi="宋体" w:eastAsia="宋体" w:cs="宋体"/>
          <w:b w:val="0"/>
          <w:i w:val="0"/>
          <w:caps w:val="0"/>
          <w:color w:val="auto"/>
          <w:spacing w:val="0"/>
          <w:kern w:val="0"/>
          <w:sz w:val="21"/>
          <w:szCs w:val="21"/>
          <w:shd w:val="clear" w:color="auto" w:fill="FFFFFF"/>
          <w:lang w:val="en-US" w:eastAsia="zh-CN" w:bidi="ar"/>
        </w:rPr>
      </w:pPr>
      <w:r>
        <w:rPr>
          <w:rFonts w:hint="eastAsia" w:ascii="宋体" w:hAnsi="宋体" w:eastAsia="宋体" w:cs="宋体"/>
          <w:b w:val="0"/>
          <w:i w:val="0"/>
          <w:caps w:val="0"/>
          <w:color w:val="auto"/>
          <w:spacing w:val="0"/>
          <w:kern w:val="0"/>
          <w:sz w:val="21"/>
          <w:szCs w:val="21"/>
          <w:shd w:val="clear" w:color="auto" w:fill="FFFFFF"/>
          <w:lang w:val="en-US" w:eastAsia="zh-CN" w:bidi="ar"/>
        </w:rPr>
        <w:t>与其他城市对比，安庆、滁州、巢湖三市和合肥经济联系量规模较大的原因是</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eastAsia="宋体" w:cs="宋体"/>
          <w:b w:val="0"/>
          <w:i w:val="0"/>
          <w:caps w:val="0"/>
          <w:color w:val="auto"/>
          <w:spacing w:val="0"/>
          <w:kern w:val="0"/>
          <w:sz w:val="21"/>
          <w:szCs w:val="21"/>
          <w:shd w:val="clear" w:color="auto" w:fill="FFFFFF"/>
          <w:lang w:val="en-US" w:eastAsia="zh-CN" w:bidi="ar"/>
        </w:rPr>
        <w:t> </w:t>
      </w:r>
      <w:r>
        <w:rPr>
          <w:rFonts w:hint="eastAsia" w:ascii="宋体" w:hAnsi="宋体" w:eastAsia="宋体" w:cs="宋体"/>
          <w:b w:val="0"/>
          <w:i w:val="0"/>
          <w:caps w:val="0"/>
          <w:color w:val="auto"/>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auto"/>
          <w:spacing w:val="0"/>
          <w:kern w:val="0"/>
          <w:sz w:val="21"/>
          <w:szCs w:val="21"/>
          <w:shd w:val="clear" w:color="auto" w:fill="FFFFFF"/>
          <w:lang w:val="en-US" w:eastAsia="zh-CN" w:bidi="ar"/>
        </w:rPr>
        <w:t>①政府管理部门的调控          ②经济互补性强 </w:t>
      </w:r>
      <w:r>
        <w:rPr>
          <w:rFonts w:hint="eastAsia" w:ascii="宋体" w:hAnsi="宋体" w:eastAsia="宋体" w:cs="宋体"/>
          <w:b w:val="0"/>
          <w:i w:val="0"/>
          <w:caps w:val="0"/>
          <w:color w:val="auto"/>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auto"/>
          <w:spacing w:val="0"/>
          <w:kern w:val="0"/>
          <w:sz w:val="21"/>
          <w:szCs w:val="21"/>
          <w:shd w:val="clear" w:color="auto" w:fill="FFFFFF"/>
          <w:lang w:val="en-US" w:eastAsia="zh-CN" w:bidi="ar"/>
        </w:rPr>
        <w:t>③地理位置邻近且交通便捷         ④防洪、抗早等压力较小</w:t>
      </w:r>
    </w:p>
    <w:p w14:paraId="42ECD7F9">
      <w:pPr>
        <w:keepNext w:val="0"/>
        <w:keepLines w:val="0"/>
        <w:widowControl/>
        <w:numPr>
          <w:ilvl w:val="0"/>
          <w:numId w:val="0"/>
        </w:numPr>
        <w:suppressLineNumbers w:val="0"/>
        <w:spacing w:line="360" w:lineRule="auto"/>
        <w:jc w:val="left"/>
        <w:rPr>
          <w:rFonts w:hint="eastAsia" w:ascii="宋体" w:hAnsi="宋体" w:eastAsia="宋体" w:cs="宋体"/>
          <w:b w:val="0"/>
          <w:i w:val="0"/>
          <w:caps w:val="0"/>
          <w:color w:val="auto"/>
          <w:spacing w:val="0"/>
          <w:kern w:val="0"/>
          <w:sz w:val="21"/>
          <w:szCs w:val="21"/>
          <w:shd w:val="clear" w:color="auto" w:fill="FFFFFF"/>
          <w:lang w:val="en-US" w:eastAsia="zh-CN" w:bidi="ar"/>
        </w:rPr>
      </w:pPr>
      <w:r>
        <w:rPr>
          <w:rFonts w:hint="eastAsia" w:ascii="宋体" w:hAnsi="宋体" w:eastAsia="宋体" w:cs="宋体"/>
          <w:b w:val="0"/>
          <w:i w:val="0"/>
          <w:caps w:val="0"/>
          <w:color w:val="auto"/>
          <w:spacing w:val="0"/>
          <w:kern w:val="0"/>
          <w:sz w:val="21"/>
          <w:szCs w:val="21"/>
          <w:shd w:val="clear" w:color="auto" w:fill="FFFFFF"/>
          <w:lang w:val="en-US" w:eastAsia="zh-CN" w:bidi="ar"/>
        </w:rPr>
        <w:t>A．①②</w:t>
      </w:r>
      <w:r>
        <w:rPr>
          <w:rFonts w:hint="eastAsia" w:ascii="宋体" w:hAnsi="宋体" w:eastAsia="宋体" w:cs="宋体"/>
          <w:b w:val="0"/>
          <w:i w:val="0"/>
          <w:caps w:val="0"/>
          <w:color w:val="auto"/>
          <w:spacing w:val="0"/>
          <w:kern w:val="0"/>
          <w:sz w:val="21"/>
          <w:szCs w:val="21"/>
          <w:shd w:val="clear" w:color="auto" w:fill="FFFFFF"/>
          <w:lang w:val="en-US" w:eastAsia="zh-CN" w:bidi="ar"/>
        </w:rPr>
        <w:tab/>
      </w:r>
      <w:r>
        <w:rPr>
          <w:rFonts w:hint="eastAsia" w:ascii="宋体" w:hAnsi="宋体" w:eastAsia="宋体" w:cs="宋体"/>
          <w:b w:val="0"/>
          <w:i w:val="0"/>
          <w:caps w:val="0"/>
          <w:color w:val="auto"/>
          <w:spacing w:val="0"/>
          <w:kern w:val="0"/>
          <w:sz w:val="21"/>
          <w:szCs w:val="21"/>
          <w:shd w:val="clear" w:color="auto" w:fill="FFFFFF"/>
          <w:lang w:val="en-US" w:eastAsia="zh-CN" w:bidi="ar"/>
        </w:rPr>
        <w:t xml:space="preserve">     B．①④</w:t>
      </w:r>
      <w:r>
        <w:rPr>
          <w:rFonts w:hint="eastAsia" w:ascii="宋体" w:hAnsi="宋体" w:eastAsia="宋体" w:cs="宋体"/>
          <w:b w:val="0"/>
          <w:i w:val="0"/>
          <w:caps w:val="0"/>
          <w:color w:val="auto"/>
          <w:spacing w:val="0"/>
          <w:kern w:val="0"/>
          <w:sz w:val="21"/>
          <w:szCs w:val="21"/>
          <w:shd w:val="clear" w:color="auto" w:fill="FFFFFF"/>
          <w:lang w:val="en-US" w:eastAsia="zh-CN" w:bidi="ar"/>
        </w:rPr>
        <w:tab/>
      </w:r>
      <w:r>
        <w:rPr>
          <w:rFonts w:hint="eastAsia" w:ascii="宋体" w:hAnsi="宋体" w:eastAsia="宋体" w:cs="宋体"/>
          <w:b w:val="0"/>
          <w:i w:val="0"/>
          <w:caps w:val="0"/>
          <w:color w:val="auto"/>
          <w:spacing w:val="0"/>
          <w:kern w:val="0"/>
          <w:sz w:val="21"/>
          <w:szCs w:val="21"/>
          <w:shd w:val="clear" w:color="auto" w:fill="FFFFFF"/>
          <w:lang w:val="en-US" w:eastAsia="zh-CN" w:bidi="ar"/>
        </w:rPr>
        <w:t xml:space="preserve">    C．②③</w:t>
      </w:r>
      <w:r>
        <w:rPr>
          <w:rFonts w:hint="eastAsia" w:ascii="宋体" w:hAnsi="宋体" w:eastAsia="宋体" w:cs="宋体"/>
          <w:b w:val="0"/>
          <w:i w:val="0"/>
          <w:caps w:val="0"/>
          <w:color w:val="auto"/>
          <w:spacing w:val="0"/>
          <w:kern w:val="0"/>
          <w:sz w:val="21"/>
          <w:szCs w:val="21"/>
          <w:shd w:val="clear" w:color="auto" w:fill="FFFFFF"/>
          <w:lang w:val="en-US" w:eastAsia="zh-CN" w:bidi="ar"/>
        </w:rPr>
        <w:tab/>
      </w:r>
      <w:r>
        <w:rPr>
          <w:rFonts w:hint="eastAsia" w:ascii="宋体" w:hAnsi="宋体" w:eastAsia="宋体" w:cs="宋体"/>
          <w:b w:val="0"/>
          <w:i w:val="0"/>
          <w:caps w:val="0"/>
          <w:color w:val="auto"/>
          <w:spacing w:val="0"/>
          <w:kern w:val="0"/>
          <w:sz w:val="21"/>
          <w:szCs w:val="21"/>
          <w:shd w:val="clear" w:color="auto" w:fill="FFFFFF"/>
          <w:lang w:val="en-US" w:eastAsia="zh-CN" w:bidi="ar"/>
        </w:rPr>
        <w:t xml:space="preserve">       D．③④</w:t>
      </w:r>
    </w:p>
    <w:p w14:paraId="1B898B3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shd w:val="clear" w:color="auto" w:fill="FFFFFF"/>
          <w:lang w:val="en-US" w:eastAsia="zh-CN"/>
        </w:rPr>
      </w:pPr>
      <w:r>
        <w:rPr>
          <w:rFonts w:hint="eastAsia" w:ascii="宋体" w:hAnsi="宋体" w:eastAsia="宋体" w:cs="宋体"/>
          <w:b w:val="0"/>
          <w:i w:val="0"/>
          <w:caps w:val="0"/>
          <w:color w:val="auto"/>
          <w:spacing w:val="0"/>
          <w:sz w:val="21"/>
          <w:szCs w:val="21"/>
          <w:shd w:val="clear" w:color="auto" w:fill="FFFFFF"/>
        </w:rPr>
        <w:t>“省域副中心城市”通常指在一省范围内，距离省会城市150公里以上、可以被赋予带动周边区域发展重任的大城市，主要是为了解决省会城市位置较偏而又一城独大的问题。由于湖北地域上东窄西宽，而省会武汉又偏于鄂东，客观上需要在鄂西北、鄂西南确立“省域副中心城市”作为省会武汉的“二传手”。2003年8月，国务院批准的《湖北省城镇体系规划》明确将襄阳、宜昌定位为“省域副中心城市”。完成下列各题。</w:t>
      </w:r>
      <w:r>
        <w:rPr>
          <w:rFonts w:hint="eastAsia" w:ascii="宋体" w:hAnsi="宋体" w:eastAsia="宋体" w:cs="宋体"/>
          <w:b w:val="0"/>
          <w:i w:val="0"/>
          <w:caps w:val="0"/>
          <w:color w:val="auto"/>
          <w:spacing w:val="0"/>
          <w:sz w:val="21"/>
          <w:szCs w:val="21"/>
          <w:shd w:val="clear" w:color="auto" w:fill="FFFFFF"/>
          <w:lang w:val="en-US" w:eastAsia="zh-CN"/>
        </w:rPr>
        <w:t xml:space="preserve">    </w:t>
      </w:r>
    </w:p>
    <w:p w14:paraId="5B03E8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ascii="宋体" w:hAnsi="宋体" w:eastAsia="宋体" w:cs="宋体"/>
          <w:color w:val="auto"/>
          <w:kern w:val="0"/>
          <w:sz w:val="24"/>
          <w:szCs w:val="24"/>
          <w:lang w:val="en-US" w:eastAsia="zh-CN" w:bidi="ar"/>
        </w:rPr>
        <w:drawing>
          <wp:inline distT="0" distB="0" distL="114300" distR="114300">
            <wp:extent cx="3100070" cy="2038985"/>
            <wp:effectExtent l="0" t="0" r="11430" b="5715"/>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9"/>
                    <a:stretch>
                      <a:fillRect/>
                    </a:stretch>
                  </pic:blipFill>
                  <pic:spPr>
                    <a:xfrm>
                      <a:off x="0" y="0"/>
                      <a:ext cx="3100070" cy="2038985"/>
                    </a:xfrm>
                    <a:prstGeom prst="rect">
                      <a:avLst/>
                    </a:prstGeom>
                    <a:noFill/>
                    <a:ln>
                      <a:noFill/>
                    </a:ln>
                  </pic:spPr>
                </pic:pic>
              </a:graphicData>
            </a:graphic>
          </wp:inline>
        </w:drawing>
      </w:r>
    </w:p>
    <w:p w14:paraId="3CF9C6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lang w:val="en-US" w:eastAsia="zh-CN"/>
        </w:rPr>
        <w:t>7</w:t>
      </w:r>
      <w:r>
        <w:rPr>
          <w:rFonts w:hint="eastAsia" w:ascii="宋体" w:hAnsi="宋体" w:eastAsia="宋体" w:cs="宋体"/>
          <w:b w:val="0"/>
          <w:i w:val="0"/>
          <w:caps w:val="0"/>
          <w:color w:val="auto"/>
          <w:spacing w:val="0"/>
          <w:sz w:val="21"/>
          <w:szCs w:val="21"/>
          <w:shd w:val="clear" w:color="auto" w:fill="FFFFFF"/>
        </w:rPr>
        <w:t>. 襄阳、宜昌被定为“省域副中心城市”的最主要区位因素是（  ）</w:t>
      </w:r>
    </w:p>
    <w:p w14:paraId="643B8E1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A. 经济发达    B. 人口众多    C. 位置优越    D. 交通便利</w:t>
      </w:r>
    </w:p>
    <w:p w14:paraId="0007958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lang w:val="en-US" w:eastAsia="zh-CN"/>
        </w:rPr>
        <w:t>8</w:t>
      </w:r>
      <w:r>
        <w:rPr>
          <w:rFonts w:hint="eastAsia" w:ascii="宋体" w:hAnsi="宋体" w:eastAsia="宋体" w:cs="宋体"/>
          <w:b w:val="0"/>
          <w:i w:val="0"/>
          <w:caps w:val="0"/>
          <w:color w:val="auto"/>
          <w:spacing w:val="0"/>
          <w:sz w:val="21"/>
          <w:szCs w:val="21"/>
          <w:shd w:val="clear" w:color="auto" w:fill="FFFFFF"/>
        </w:rPr>
        <w:t>. 下列关于湖北省自然地理特征的说法，错误的是（  ）</w:t>
      </w:r>
    </w:p>
    <w:p w14:paraId="105F655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A. 西部以山地为主，东部以平原、丘陵为主    </w:t>
      </w:r>
    </w:p>
    <w:p w14:paraId="3AEF499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B. 地势自西向东逐渐降低</w:t>
      </w:r>
    </w:p>
    <w:p w14:paraId="15F4326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C. 西部河流湍急，水力资源丰富    </w:t>
      </w:r>
    </w:p>
    <w:p w14:paraId="242117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shd w:val="clear" w:color="auto" w:fill="FFFFFF"/>
        </w:rPr>
      </w:pPr>
      <w:r>
        <w:rPr>
          <w:rFonts w:hint="eastAsia" w:ascii="宋体" w:hAnsi="宋体" w:eastAsia="宋体" w:cs="宋体"/>
          <w:b w:val="0"/>
          <w:i w:val="0"/>
          <w:caps w:val="0"/>
          <w:color w:val="auto"/>
          <w:spacing w:val="0"/>
          <w:sz w:val="21"/>
          <w:szCs w:val="21"/>
          <w:shd w:val="clear" w:color="auto" w:fill="FFFFFF"/>
        </w:rPr>
        <w:drawing>
          <wp:inline distT="0" distB="0" distL="114300" distR="114300">
            <wp:extent cx="254000" cy="253365"/>
            <wp:effectExtent l="0" t="0" r="0" b="63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0"/>
                    <a:stretch>
                      <a:fillRect/>
                    </a:stretch>
                  </pic:blipFill>
                  <pic:spPr>
                    <a:xfrm>
                      <a:off x="0" y="0"/>
                      <a:ext cx="254000" cy="253365"/>
                    </a:xfrm>
                    <a:prstGeom prst="rect">
                      <a:avLst/>
                    </a:prstGeom>
                    <a:noFill/>
                    <a:ln>
                      <a:noFill/>
                    </a:ln>
                  </pic:spPr>
                </pic:pic>
              </a:graphicData>
            </a:graphic>
          </wp:inline>
        </w:drawing>
      </w:r>
      <w:r>
        <w:rPr>
          <w:rFonts w:hint="eastAsia" w:ascii="宋体" w:hAnsi="宋体" w:eastAsia="宋体" w:cs="宋体"/>
          <w:b w:val="0"/>
          <w:i w:val="0"/>
          <w:caps w:val="0"/>
          <w:color w:val="auto"/>
          <w:spacing w:val="0"/>
          <w:sz w:val="21"/>
          <w:szCs w:val="21"/>
          <w:shd w:val="clear" w:color="auto" w:fill="FFFFFF"/>
        </w:rPr>
        <w:t>D. 西部山区位于我国二、三阶梯的过渡地带</w:t>
      </w:r>
    </w:p>
    <w:p w14:paraId="0B2F2F1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为促进济南都市圈的建设，国务院于2019年1月10日批复同意山东省调整济南市、莱芜市的行政区划，撤销莱芜市，将其所辖区域划归济南市管辖。读下图完成下列各题。</w:t>
      </w:r>
    </w:p>
    <w:p w14:paraId="10C3A089">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drawing>
          <wp:inline distT="0" distB="0" distL="114300" distR="114300">
            <wp:extent cx="3514725" cy="1771650"/>
            <wp:effectExtent l="0" t="0" r="3175" b="6350"/>
            <wp:docPr id="5"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G_256"/>
                    <pic:cNvPicPr>
                      <a:picLocks noChangeAspect="1"/>
                    </pic:cNvPicPr>
                  </pic:nvPicPr>
                  <pic:blipFill>
                    <a:blip r:embed="rId11"/>
                    <a:stretch>
                      <a:fillRect/>
                    </a:stretch>
                  </pic:blipFill>
                  <pic:spPr>
                    <a:xfrm>
                      <a:off x="0" y="0"/>
                      <a:ext cx="3514725" cy="1771650"/>
                    </a:xfrm>
                    <a:prstGeom prst="rect">
                      <a:avLst/>
                    </a:prstGeom>
                    <a:noFill/>
                    <a:ln>
                      <a:noFill/>
                    </a:ln>
                  </pic:spPr>
                </pic:pic>
              </a:graphicData>
            </a:graphic>
          </wp:inline>
        </w:drawing>
      </w:r>
    </w:p>
    <w:p w14:paraId="3316D32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9．行政区划调整后，作为省会城市济南的</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w:t>
      </w:r>
    </w:p>
    <w:p w14:paraId="246A968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A.经济地位加强             B.服务范围扩大</w:t>
      </w:r>
    </w:p>
    <w:p w14:paraId="712D574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C.城市职能减少             D.城市等级提升</w:t>
      </w:r>
    </w:p>
    <w:p w14:paraId="0453EF6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10．济南行政区划的调整对济南城市圈建设的作用体现在</w:t>
      </w:r>
      <w:r>
        <w:rPr>
          <w:rFonts w:hint="eastAsia" w:ascii="宋体" w:hAnsi="宋体" w:eastAsia="宋体" w:cs="宋体"/>
          <w:b w:val="0"/>
          <w:i w:val="0"/>
          <w:caps w:val="0"/>
          <w:color w:val="auto"/>
          <w:spacing w:val="0"/>
          <w:sz w:val="21"/>
          <w:szCs w:val="21"/>
          <w:shd w:val="clear" w:color="auto" w:fill="FFFFFF"/>
        </w:rPr>
        <w:t>（</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w:t>
      </w:r>
    </w:p>
    <w:p w14:paraId="5791ABC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①进一步优化济南市城市空间布局</w:t>
      </w:r>
    </w:p>
    <w:p w14:paraId="7BC6EE1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②推进区域基础设施共建共享</w:t>
      </w:r>
    </w:p>
    <w:p w14:paraId="5C124F2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③更好发挥省会城市的带动、示范、辐射作用</w:t>
      </w:r>
    </w:p>
    <w:p w14:paraId="0DBDFA6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④构建与环渤海地区多元互补、协调联动、合作共赢的产业体系和发展格局</w:t>
      </w:r>
    </w:p>
    <w:p w14:paraId="70FEB4A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kern w:val="0"/>
          <w:sz w:val="21"/>
          <w:szCs w:val="21"/>
          <w:shd w:val="clear" w:color="auto" w:fill="FFFFFF"/>
          <w:lang w:val="en-US" w:eastAsia="zh-CN" w:bidi="ar"/>
        </w:rPr>
        <w:t xml:space="preserve">A.①②       B.①②③    </w:t>
      </w:r>
      <w:r>
        <w:rPr>
          <w:rFonts w:hint="eastAsia" w:ascii="宋体" w:hAnsi="宋体" w:cs="宋体"/>
          <w:b w:val="0"/>
          <w:i w:val="0"/>
          <w:caps w:val="0"/>
          <w:color w:val="auto"/>
          <w:spacing w:val="0"/>
          <w:kern w:val="0"/>
          <w:sz w:val="21"/>
          <w:szCs w:val="21"/>
          <w:shd w:val="clear" w:color="auto" w:fill="FFFFFF"/>
          <w:lang w:val="en-US" w:eastAsia="zh-CN" w:bidi="ar"/>
        </w:rPr>
        <w:t xml:space="preserve">     </w:t>
      </w:r>
      <w:r>
        <w:rPr>
          <w:rFonts w:hint="eastAsia" w:ascii="宋体" w:hAnsi="宋体" w:eastAsia="宋体" w:cs="宋体"/>
          <w:b w:val="0"/>
          <w:i w:val="0"/>
          <w:caps w:val="0"/>
          <w:color w:val="auto"/>
          <w:spacing w:val="0"/>
          <w:kern w:val="0"/>
          <w:sz w:val="21"/>
          <w:szCs w:val="21"/>
          <w:shd w:val="clear" w:color="auto" w:fill="FFFFFF"/>
          <w:lang w:val="en-US" w:eastAsia="zh-CN" w:bidi="ar"/>
        </w:rPr>
        <w:t> C.②③④    D.①②③④</w:t>
      </w:r>
    </w:p>
    <w:p w14:paraId="7080EA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法国区域经济发展不平衡现象在欧盟国家中较为典型。历史上，法国长期高度中央集权，巴黎一直是其政治中心。法国的人口、生产、服务活动高度集聚于巴黎，大巴黎地区人口数量为第二位城市里昂的7倍以上。20世纪60年代，法国选择了若干边缘城市集聚区建立“平衡城市”，阻滞人口和产业向巴黎集中，以消除巴黎与其他地区之间发展的高度不平衡问题。读法国“平衡城市”影响范围示意图，回答下面小题。</w:t>
      </w:r>
      <w:r>
        <w:rPr>
          <w:rFonts w:hint="eastAsia" w:ascii="宋体" w:hAnsi="宋体" w:eastAsia="宋体" w:cs="宋体"/>
          <w:b w:val="0"/>
          <w:i w:val="0"/>
          <w:caps w:val="0"/>
          <w:color w:val="auto"/>
          <w:spacing w:val="0"/>
          <w:sz w:val="21"/>
          <w:szCs w:val="21"/>
          <w:shd w:val="clear" w:color="auto" w:fill="FFFFFF"/>
        </w:rPr>
        <w:br w:type="textWrapping"/>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ascii="宋体" w:hAnsi="宋体" w:eastAsia="宋体" w:cs="宋体"/>
          <w:color w:val="auto"/>
          <w:sz w:val="24"/>
          <w:szCs w:val="24"/>
        </w:rPr>
        <w:drawing>
          <wp:inline distT="0" distB="0" distL="114300" distR="114300">
            <wp:extent cx="1941195" cy="1991995"/>
            <wp:effectExtent l="0" t="0" r="1905" b="1905"/>
            <wp:docPr id="1"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IMG_256"/>
                    <pic:cNvPicPr>
                      <a:picLocks noChangeAspect="1"/>
                    </pic:cNvPicPr>
                  </pic:nvPicPr>
                  <pic:blipFill>
                    <a:blip r:embed="rId12"/>
                    <a:stretch>
                      <a:fillRect/>
                    </a:stretch>
                  </pic:blipFill>
                  <pic:spPr>
                    <a:xfrm>
                      <a:off x="0" y="0"/>
                      <a:ext cx="1941195" cy="1991995"/>
                    </a:xfrm>
                    <a:prstGeom prst="rect">
                      <a:avLst/>
                    </a:prstGeom>
                    <a:noFill/>
                    <a:ln>
                      <a:noFill/>
                    </a:ln>
                  </pic:spPr>
                </pic:pic>
              </a:graphicData>
            </a:graphic>
          </wp:inline>
        </w:drawing>
      </w:r>
    </w:p>
    <w:p w14:paraId="01E1BF8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lang w:val="en-US" w:eastAsia="zh-CN"/>
        </w:rPr>
        <w:t>11.</w:t>
      </w:r>
      <w:r>
        <w:rPr>
          <w:rFonts w:hint="eastAsia" w:ascii="宋体" w:hAnsi="宋体" w:eastAsia="宋体" w:cs="宋体"/>
          <w:b w:val="0"/>
          <w:i w:val="0"/>
          <w:caps w:val="0"/>
          <w:color w:val="auto"/>
          <w:spacing w:val="0"/>
          <w:sz w:val="21"/>
          <w:szCs w:val="21"/>
          <w:shd w:val="clear" w:color="auto" w:fill="FFFFFF"/>
        </w:rPr>
        <w:t>法国建立“平衡城市”的主要目的是为了维持边缘城市集聚区的（</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w:t>
      </w:r>
    </w:p>
    <w:p w14:paraId="534350E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A．服务范围</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B．服务种类</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C．服务等级</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D．服务门槛</w:t>
      </w:r>
    </w:p>
    <w:p w14:paraId="19A593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lang w:val="en-US" w:eastAsia="zh-CN"/>
        </w:rPr>
        <w:t>12.</w:t>
      </w:r>
      <w:r>
        <w:rPr>
          <w:rFonts w:hint="eastAsia" w:ascii="宋体" w:hAnsi="宋体" w:eastAsia="宋体" w:cs="宋体"/>
          <w:b w:val="0"/>
          <w:i w:val="0"/>
          <w:caps w:val="0"/>
          <w:color w:val="auto"/>
          <w:spacing w:val="0"/>
          <w:sz w:val="21"/>
          <w:szCs w:val="21"/>
          <w:shd w:val="clear" w:color="auto" w:fill="FFFFFF"/>
        </w:rPr>
        <w:t>“平衡城市”规划的主要目标是优化法国城市的（</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w:t>
      </w:r>
    </w:p>
    <w:p w14:paraId="137992C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b/>
        </w:rPr>
      </w:pPr>
      <w:r>
        <w:rPr>
          <w:rFonts w:hint="eastAsia" w:ascii="宋体" w:hAnsi="宋体" w:eastAsia="宋体" w:cs="宋体"/>
          <w:b w:val="0"/>
          <w:i w:val="0"/>
          <w:caps w:val="0"/>
          <w:color w:val="auto"/>
          <w:spacing w:val="0"/>
          <w:sz w:val="21"/>
          <w:szCs w:val="21"/>
          <w:shd w:val="clear" w:color="auto" w:fill="FFFFFF"/>
        </w:rPr>
        <w:t>A．空问结构</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B．产业协作</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C．规模结构</w:t>
      </w:r>
      <w:r>
        <w:rPr>
          <w:rFonts w:hint="eastAsia" w:ascii="宋体" w:hAnsi="宋体" w:eastAsia="宋体" w:cs="宋体"/>
          <w:b w:val="0"/>
          <w:i w:val="0"/>
          <w:caps w:val="0"/>
          <w:color w:val="auto"/>
          <w:spacing w:val="0"/>
          <w:sz w:val="21"/>
          <w:szCs w:val="21"/>
          <w:shd w:val="clear" w:color="auto" w:fill="FFFFFF"/>
          <w:lang w:val="en-US" w:eastAsia="zh-CN"/>
        </w:rPr>
        <w:t xml:space="preserve">      </w:t>
      </w:r>
      <w:r>
        <w:rPr>
          <w:rFonts w:hint="eastAsia" w:ascii="宋体" w:hAnsi="宋体" w:eastAsia="宋体" w:cs="宋体"/>
          <w:b w:val="0"/>
          <w:i w:val="0"/>
          <w:caps w:val="0"/>
          <w:color w:val="auto"/>
          <w:spacing w:val="0"/>
          <w:sz w:val="21"/>
          <w:szCs w:val="21"/>
          <w:shd w:val="clear" w:color="auto" w:fill="FFFFFF"/>
        </w:rPr>
        <w:t>D．城市化进程</w:t>
      </w:r>
    </w:p>
    <w:p w14:paraId="2ECCBCA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rPr>
          <w:rFonts w:hint="eastAsia" w:ascii="宋体" w:hAnsi="宋体" w:eastAsia="宋体" w:cs="宋体"/>
          <w:b/>
          <w:bCs/>
          <w:lang w:val="en-US" w:eastAsia="zh-CN"/>
        </w:rPr>
      </w:pPr>
      <w:r>
        <w:rPr>
          <w:rFonts w:hint="eastAsia" w:ascii="宋体" w:hAnsi="宋体" w:eastAsia="宋体" w:cs="宋体"/>
          <w:b/>
          <w:bCs/>
          <w:lang w:val="en-US" w:eastAsia="zh-CN"/>
        </w:rPr>
        <w:t>二、综合题</w:t>
      </w:r>
    </w:p>
    <w:p w14:paraId="4127E35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lang w:val="en-US" w:eastAsia="zh-CN"/>
        </w:rPr>
        <w:t>13.</w:t>
      </w:r>
      <w:r>
        <w:rPr>
          <w:rFonts w:hint="eastAsia" w:ascii="宋体" w:hAnsi="宋体" w:eastAsia="宋体" w:cs="宋体"/>
          <w:b w:val="0"/>
          <w:i w:val="0"/>
          <w:caps w:val="0"/>
          <w:color w:val="auto"/>
          <w:spacing w:val="0"/>
          <w:sz w:val="21"/>
          <w:szCs w:val="21"/>
          <w:shd w:val="clear" w:color="auto" w:fill="FFFFFF"/>
        </w:rPr>
        <w:t>阅读材料，回答下列问题。</w:t>
      </w:r>
    </w:p>
    <w:p w14:paraId="1D03F4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材料1：在2012年5月24日开幕的省第十次党代会上，姜异康同志所作的报告多次提及济南：“继续发挥济南优势，加快科学发展，建设美丽泉城，带动省会城市群经济圈做大做强；要加快构建以济南都市圈、胶东半岛城市群为主体，大中小城市和小城镇科学布局，城乡互促共进，区域协调发展的城镇体系”。</w:t>
      </w:r>
    </w:p>
    <w:p w14:paraId="0B4A397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材料2：济南都市圈以济南为核心，淄博为次核心，包括泰安、莱芜、聊城、德州、滨州5个城市，总面积约5.3万 km</w:t>
      </w:r>
      <w:r>
        <w:rPr>
          <w:rFonts w:hint="eastAsia" w:ascii="宋体" w:hAnsi="宋体" w:eastAsia="宋体" w:cs="宋体"/>
          <w:b w:val="0"/>
          <w:i w:val="0"/>
          <w:caps w:val="0"/>
          <w:color w:val="auto"/>
          <w:spacing w:val="0"/>
          <w:sz w:val="21"/>
          <w:szCs w:val="21"/>
          <w:shd w:val="clear" w:color="auto" w:fill="FFFFFF"/>
          <w:vertAlign w:val="superscript"/>
        </w:rPr>
        <w:t>2</w:t>
      </w:r>
      <w:r>
        <w:rPr>
          <w:rFonts w:hint="eastAsia" w:ascii="宋体" w:hAnsi="宋体" w:eastAsia="宋体" w:cs="宋体"/>
          <w:b w:val="0"/>
          <w:i w:val="0"/>
          <w:caps w:val="0"/>
          <w:color w:val="auto"/>
          <w:spacing w:val="0"/>
          <w:sz w:val="21"/>
          <w:szCs w:val="21"/>
          <w:shd w:val="clear" w:color="auto" w:fill="FFFFFF"/>
        </w:rPr>
        <w:t>。</w:t>
      </w:r>
    </w:p>
    <w:p w14:paraId="0256101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材料3：“山东半岛都市圈和济南都市圈示意图”。</w:t>
      </w:r>
    </w:p>
    <w:p w14:paraId="35466A5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drawing>
          <wp:inline distT="0" distB="0" distL="114300" distR="114300">
            <wp:extent cx="2600325" cy="1428750"/>
            <wp:effectExtent l="0" t="0" r="3175" b="6350"/>
            <wp:docPr id="9"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IMG_256"/>
                    <pic:cNvPicPr>
                      <a:picLocks noChangeAspect="1"/>
                    </pic:cNvPicPr>
                  </pic:nvPicPr>
                  <pic:blipFill>
                    <a:blip r:embed="rId13"/>
                    <a:stretch>
                      <a:fillRect/>
                    </a:stretch>
                  </pic:blipFill>
                  <pic:spPr>
                    <a:xfrm>
                      <a:off x="0" y="0"/>
                      <a:ext cx="2600325" cy="1428750"/>
                    </a:xfrm>
                    <a:prstGeom prst="rect">
                      <a:avLst/>
                    </a:prstGeom>
                    <a:noFill/>
                    <a:ln>
                      <a:noFill/>
                    </a:ln>
                  </pic:spPr>
                </pic:pic>
              </a:graphicData>
            </a:graphic>
          </wp:inline>
        </w:drawing>
      </w:r>
    </w:p>
    <w:p w14:paraId="4449B9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(1)济南都市圈规划中的城市级别包括________个层次。济南与淄博相比，________服务范围更大。山东半岛都市圈中服务范围最大的城市是________。</w:t>
      </w:r>
    </w:p>
    <w:p w14:paraId="5FF4921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(2)联系半岛都市圈各城市的青烟威荣城际铁路将在2012年通车，济南都市圈的城际铁路也在规划建设中，济南都市圈城际轨道交通建成后，济南到淄博、泰安、莱芜、聊城、德州的时距仅有半小时，区域各城市之间直达只需要1小时。分析这些城际铁路对都市圈发展和城市体系建设的积极影响。</w:t>
      </w:r>
    </w:p>
    <w:p w14:paraId="5459EFB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auto"/>
          <w:spacing w:val="0"/>
          <w:sz w:val="21"/>
          <w:szCs w:val="21"/>
        </w:rPr>
      </w:pPr>
      <w:r>
        <w:rPr>
          <w:rFonts w:hint="eastAsia" w:ascii="宋体" w:hAnsi="宋体" w:eastAsia="宋体" w:cs="宋体"/>
          <w:b w:val="0"/>
          <w:i w:val="0"/>
          <w:caps w:val="0"/>
          <w:color w:val="auto"/>
          <w:spacing w:val="0"/>
          <w:sz w:val="21"/>
          <w:szCs w:val="21"/>
          <w:shd w:val="clear" w:color="auto" w:fill="FFFFFF"/>
        </w:rPr>
        <w:t>(3)“大城市在区域中的作用大，应加快滨州、德州等中小城市的建设步伐，使之成为像济南一样的大城市或特大城市。”这一观点是否正确？为什么？</w:t>
      </w:r>
    </w:p>
    <w:p w14:paraId="49404508">
      <w:pPr>
        <w:keepNext w:val="0"/>
        <w:keepLines w:val="0"/>
        <w:pageBreakBefore w:val="0"/>
        <w:numPr>
          <w:ilvl w:val="0"/>
          <w:numId w:val="0"/>
        </w:numPr>
        <w:kinsoku/>
        <w:wordWrap/>
        <w:overflowPunct/>
        <w:topLinePunct w:val="0"/>
        <w:autoSpaceDE/>
        <w:autoSpaceDN/>
        <w:bidi w:val="0"/>
        <w:snapToGrid/>
        <w:spacing w:line="240" w:lineRule="auto"/>
        <w:ind w:leftChars="0"/>
        <w:rPr>
          <w:rFonts w:hint="default"/>
          <w:sz w:val="32"/>
          <w:szCs w:val="32"/>
          <w:shd w:val="clear" w:color="auto" w:fill="auto"/>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7F6A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横峰中学学生寒假作业（学科） 编号：hfzx （编撰序号） 使用时间: 编写人： 审核人：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DADDB"/>
    <w:multiLevelType w:val="singleLevel"/>
    <w:tmpl w:val="BB1DADDB"/>
    <w:lvl w:ilvl="0" w:tentative="0">
      <w:start w:val="1"/>
      <w:numFmt w:val="chineseCounting"/>
      <w:suff w:val="nothing"/>
      <w:lvlText w:val="%1、"/>
      <w:lvlJc w:val="left"/>
      <w:rPr>
        <w:rFonts w:hint="eastAsia"/>
      </w:rPr>
    </w:lvl>
  </w:abstractNum>
  <w:abstractNum w:abstractNumId="1">
    <w:nsid w:val="BE445EE9"/>
    <w:multiLevelType w:val="singleLevel"/>
    <w:tmpl w:val="BE445EE9"/>
    <w:lvl w:ilvl="0" w:tentative="0">
      <w:start w:val="6"/>
      <w:numFmt w:val="decimal"/>
      <w:lvlText w:val="%1."/>
      <w:lvlJc w:val="left"/>
      <w:pPr>
        <w:tabs>
          <w:tab w:val="left" w:pos="312"/>
        </w:tabs>
      </w:pPr>
    </w:lvl>
  </w:abstractNum>
  <w:abstractNum w:abstractNumId="2">
    <w:nsid w:val="CB293693"/>
    <w:multiLevelType w:val="singleLevel"/>
    <w:tmpl w:val="CB293693"/>
    <w:lvl w:ilvl="0" w:tentative="0">
      <w:start w:val="1"/>
      <w:numFmt w:val="decimal"/>
      <w:suff w:val="space"/>
      <w:lvlText w:val="%1."/>
      <w:lvlJc w:val="left"/>
    </w:lvl>
  </w:abstractNum>
  <w:abstractNum w:abstractNumId="3">
    <w:nsid w:val="256D1999"/>
    <w:multiLevelType w:val="singleLevel"/>
    <w:tmpl w:val="256D1999"/>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6C43110"/>
    <w:rsid w:val="0BDF35FC"/>
    <w:rsid w:val="0C2062B0"/>
    <w:rsid w:val="18EA07E2"/>
    <w:rsid w:val="1AF57CC6"/>
    <w:rsid w:val="238C4FCD"/>
    <w:rsid w:val="28B43155"/>
    <w:rsid w:val="2BD25271"/>
    <w:rsid w:val="2C2B3683"/>
    <w:rsid w:val="2E2A6B01"/>
    <w:rsid w:val="42984EF4"/>
    <w:rsid w:val="4DC90020"/>
    <w:rsid w:val="4E8956D1"/>
    <w:rsid w:val="51AC698D"/>
    <w:rsid w:val="54AD286C"/>
    <w:rsid w:val="5B5E7895"/>
    <w:rsid w:val="6C417D7E"/>
    <w:rsid w:val="6D076B98"/>
    <w:rsid w:val="71AE4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adjustRightInd w:val="0"/>
      <w:spacing w:before="100" w:beforeAutospacing="1" w:after="100" w:afterAutospacing="1" w:line="312" w:lineRule="atLeast"/>
      <w:jc w:val="left"/>
      <w:textAlignment w:val="baseline"/>
    </w:pPr>
    <w:rPr>
      <w:rFonts w:ascii="宋体" w:hAnsi="宋体"/>
      <w:kern w:val="0"/>
      <w:sz w:val="24"/>
      <w:szCs w:val="20"/>
    </w:rPr>
  </w:style>
  <w:style w:type="paragraph" w:styleId="8">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8.jpe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2692</Words>
  <Characters>2812</Characters>
  <Lines>0</Lines>
  <Paragraphs>0</Paragraphs>
  <TotalTime>0</TotalTime>
  <ScaleCrop>false</ScaleCrop>
  <LinksUpToDate>false</LinksUpToDate>
  <CharactersWithSpaces>3170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palpitation</cp:lastModifiedBy>
  <dcterms:modified xsi:type="dcterms:W3CDTF">2025-01-07T09:09:47Z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AA2EDC9A00BB44EA946EB52494595C51_13</vt:lpwstr>
  </property>
  <property fmtid="{D5CDD505-2E9C-101B-9397-08002B2CF9AE}" pid="4" name="KSOTemplateDocerSaveRecord">
    <vt:lpwstr>eyJoZGlkIjoiYzAzMmM2OThhNmJlZDA5NDNjNWM4MGQzYTA0ZjY2M2UiLCJ1c2VySWQiOiI0MTQ4MDM5NDgifQ==</vt:lpwstr>
  </property>
</Properties>
</file>