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8C8D" w14:textId="56A3E70E" w:rsidR="004C4479" w:rsidRPr="00B017F0" w:rsidRDefault="004C4479" w:rsidP="004C4479">
      <w:pPr>
        <w:pStyle w:val="a7"/>
        <w:ind w:left="440" w:firstLineChars="0" w:firstLine="0"/>
        <w:jc w:val="center"/>
        <w:textAlignment w:val="center"/>
        <w:rPr>
          <w:rFonts w:ascii="宋体" w:hAnsi="宋体" w:cs="宋体" w:hint="eastAsia"/>
          <w:b/>
          <w:color w:val="000000"/>
          <w:sz w:val="30"/>
        </w:rPr>
      </w:pPr>
      <w:r w:rsidRPr="00B017F0">
        <w:rPr>
          <w:rFonts w:ascii="宋体" w:hAnsi="宋体" w:cs="宋体" w:hint="eastAsia"/>
          <w:b/>
          <w:color w:val="000000"/>
          <w:sz w:val="30"/>
        </w:rPr>
        <w:t>横峰中学高二年级寒假练习历史卷</w:t>
      </w:r>
      <w:r>
        <w:rPr>
          <w:rFonts w:ascii="宋体" w:hAnsi="宋体" w:cs="宋体" w:hint="eastAsia"/>
          <w:b/>
          <w:color w:val="000000"/>
          <w:sz w:val="30"/>
        </w:rPr>
        <w:t>8</w:t>
      </w:r>
    </w:p>
    <w:p w14:paraId="4CC854F0" w14:textId="77777777" w:rsidR="00010669" w:rsidRDefault="00010669" w:rsidP="00010669">
      <w:pPr>
        <w:jc w:val="center"/>
        <w:textAlignment w:val="center"/>
        <w:rPr>
          <w:rFonts w:ascii="Calibri" w:eastAsiaTheme="minorEastAsia" w:hAnsi="Calibri" w:cs="Calibri"/>
          <w:color w:val="000000"/>
        </w:rPr>
      </w:pPr>
      <w:r>
        <w:rPr>
          <w:rFonts w:ascii="宋体" w:hAnsi="宋体" w:cs="宋体" w:hint="eastAsia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评价：</w:t>
      </w:r>
      <w:r>
        <w:rPr>
          <w:rFonts w:ascii="Calibri" w:eastAsia="Calibri" w:hAnsi="Calibri" w:cs="Calibri"/>
          <w:color w:val="000000"/>
        </w:rPr>
        <w:t>___________</w:t>
      </w:r>
    </w:p>
    <w:p w14:paraId="165F306D" w14:textId="312E055E" w:rsidR="00EF035E" w:rsidRPr="004C4479" w:rsidRDefault="004C4479" w:rsidP="004C4479">
      <w:pPr>
        <w:textAlignment w:val="center"/>
        <w:rPr>
          <w:rFonts w:ascii="黑体" w:eastAsia="黑体" w:hAnsi="黑体" w:cs="黑体" w:hint="eastAsia"/>
          <w:bCs/>
          <w:color w:val="000000"/>
          <w:sz w:val="28"/>
          <w:szCs w:val="28"/>
        </w:rPr>
      </w:pPr>
      <w:r w:rsidRPr="00B017F0">
        <w:rPr>
          <w:rFonts w:ascii="黑体" w:eastAsia="黑体" w:hAnsi="黑体" w:cs="黑体" w:hint="eastAsia"/>
          <w:bCs/>
          <w:color w:val="000000"/>
          <w:sz w:val="28"/>
          <w:szCs w:val="28"/>
        </w:rPr>
        <w:t>考点：选必一综合检测</w:t>
      </w:r>
    </w:p>
    <w:p w14:paraId="5CD18330" w14:textId="77777777" w:rsidR="00EF035E" w:rsidRPr="00043B5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14:paraId="6CA2AE1D" w14:textId="77777777" w:rsidR="00F359F1" w:rsidRDefault="00000000">
      <w:pPr>
        <w:spacing w:line="360" w:lineRule="auto"/>
        <w:jc w:val="left"/>
        <w:textAlignment w:val="center"/>
      </w:pPr>
      <w:r>
        <w:t>1</w:t>
      </w:r>
      <w:r>
        <w:t>．西周册命铭文早期主题相对散漫，涉及历史信息较多。至中晚期，则往往固定为先王受命</w:t>
      </w:r>
      <w:r>
        <w:t>——</w:t>
      </w:r>
      <w:r>
        <w:t>先臣用命</w:t>
      </w:r>
      <w:r>
        <w:t>——</w:t>
      </w:r>
      <w:r>
        <w:t>天下康宁的格式化叙事模式，史料信息概乏。该变化表明统治者（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7FE7B08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．力图维护君主的权威</w:t>
      </w:r>
      <w:r>
        <w:tab/>
        <w:t>B</w:t>
      </w:r>
      <w:r>
        <w:t>．宣扬政权的合法性</w:t>
      </w:r>
    </w:p>
    <w:p w14:paraId="38C2BC58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．强化统治的政治诉求</w:t>
      </w:r>
      <w:r>
        <w:tab/>
        <w:t>D</w:t>
      </w:r>
      <w:r>
        <w:t>．注重分封制度稳定</w:t>
      </w:r>
    </w:p>
    <w:p w14:paraId="21C05F07" w14:textId="77777777" w:rsidR="00F359F1" w:rsidRDefault="00000000">
      <w:pPr>
        <w:spacing w:line="360" w:lineRule="auto"/>
        <w:jc w:val="left"/>
        <w:textAlignment w:val="center"/>
      </w:pPr>
      <w:r>
        <w:t>2</w:t>
      </w:r>
      <w:r>
        <w:t>．元朝行省无视历来与划界密切相关的几条最重要的山川边界的存在，湖广行省以湖南、湖北为主体而又越过南岭有广西。观察如图可知湖广行省的布局（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C0A47F6" w14:textId="77777777" w:rsidR="00F359F1" w:rsidRDefault="00000000" w:rsidP="00754667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6E49123A" wp14:editId="0CF217FB">
            <wp:extent cx="2567940" cy="1394460"/>
            <wp:effectExtent l="0" t="0" r="3810" b="0"/>
            <wp:docPr id="100003" name="图片 100003" descr="@@@1d0c0e0b-f32f-4b6b-9504-a04c3f2537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79FF3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．以传统的山川形便为基本划界原则</w:t>
      </w:r>
      <w:r>
        <w:tab/>
        <w:t>B</w:t>
      </w:r>
      <w:r>
        <w:t>．容易滋生地方豪强和封建割据势力</w:t>
      </w:r>
    </w:p>
    <w:p w14:paraId="45402995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．囊括了自然和人文差异较大的区域</w:t>
      </w:r>
      <w:r>
        <w:tab/>
        <w:t>D</w:t>
      </w:r>
      <w:r>
        <w:t>．促进了江南地区的进一步开发利用</w:t>
      </w:r>
    </w:p>
    <w:p w14:paraId="49882015" w14:textId="77777777" w:rsidR="00F359F1" w:rsidRDefault="00000000">
      <w:pPr>
        <w:spacing w:line="360" w:lineRule="auto"/>
        <w:jc w:val="left"/>
        <w:textAlignment w:val="center"/>
      </w:pPr>
      <w:r>
        <w:t>3</w:t>
      </w:r>
      <w:r>
        <w:t>．</w:t>
      </w:r>
      <w:r>
        <w:t>631</w:t>
      </w:r>
      <w:r>
        <w:t>年，朝廷诏令皇家宗室及勋贤之臣</w:t>
      </w:r>
      <w:r>
        <w:t>“</w:t>
      </w:r>
      <w:r>
        <w:t>作镇藩部，贻厥子孙</w:t>
      </w:r>
      <w:r>
        <w:t>”</w:t>
      </w:r>
      <w:r>
        <w:t>；</w:t>
      </w:r>
      <w:r>
        <w:t>637</w:t>
      </w:r>
      <w:r>
        <w:t>年，又下诏荆王李元景等二十一王所任刺史，令子孙世袭</w:t>
      </w:r>
      <w:r>
        <w:t>……</w:t>
      </w:r>
      <w:r>
        <w:t>以功臣长孙无忌等十四人为刺史，亦令世袭。这些诏令的颁布（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8D6EC75" w14:textId="7637C61F" w:rsidR="00F359F1" w:rsidRDefault="00000000" w:rsidP="00754667">
      <w:pPr>
        <w:spacing w:line="360" w:lineRule="auto"/>
        <w:ind w:left="300"/>
        <w:jc w:val="left"/>
        <w:textAlignment w:val="center"/>
      </w:pPr>
      <w:r>
        <w:t>A</w:t>
      </w:r>
      <w:r>
        <w:t>．加速了藩镇割据局面的形成</w:t>
      </w:r>
      <w:r w:rsidR="00754667">
        <w:rPr>
          <w:rFonts w:hint="eastAsia"/>
        </w:rPr>
        <w:t xml:space="preserve">          </w:t>
      </w:r>
      <w:r>
        <w:t>B</w:t>
      </w:r>
      <w:r>
        <w:t>．意在维护王朝的长治久安</w:t>
      </w:r>
    </w:p>
    <w:p w14:paraId="0B00CCBF" w14:textId="0528699B" w:rsidR="00F359F1" w:rsidRDefault="00000000" w:rsidP="00754667">
      <w:pPr>
        <w:spacing w:line="360" w:lineRule="auto"/>
        <w:ind w:left="300"/>
        <w:jc w:val="left"/>
        <w:textAlignment w:val="center"/>
      </w:pPr>
      <w:r>
        <w:t>C</w:t>
      </w:r>
      <w:r>
        <w:t>．体现安史之乱影响政令制定</w:t>
      </w:r>
      <w:r w:rsidR="00754667">
        <w:rPr>
          <w:rFonts w:hint="eastAsia"/>
        </w:rPr>
        <w:t xml:space="preserve">          </w:t>
      </w:r>
      <w:r>
        <w:t>D</w:t>
      </w:r>
      <w:r>
        <w:t>．推动地方制度的逐步完善</w:t>
      </w:r>
    </w:p>
    <w:p w14:paraId="38BB613A" w14:textId="77777777" w:rsidR="00F359F1" w:rsidRDefault="00000000">
      <w:pPr>
        <w:spacing w:line="360" w:lineRule="auto"/>
        <w:jc w:val="left"/>
        <w:textAlignment w:val="center"/>
      </w:pPr>
      <w:r>
        <w:t>4</w:t>
      </w:r>
      <w:r>
        <w:t>．英王亨利一世（</w:t>
      </w:r>
      <w:r>
        <w:t>1100-1135</w:t>
      </w:r>
      <w:r>
        <w:t>年在位）的加冕宪章规定了国王对教会财产及诸侯领地所拥有的权利，特别是载明了国王所不能做或决意不去做的事，是一份明确规定封建关系的法律文件。该文件（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3AB794A" w14:textId="20232155" w:rsidR="00F359F1" w:rsidRDefault="00000000" w:rsidP="00754667">
      <w:pPr>
        <w:spacing w:line="360" w:lineRule="auto"/>
        <w:ind w:left="300"/>
        <w:jc w:val="left"/>
        <w:textAlignment w:val="center"/>
      </w:pPr>
      <w:r>
        <w:t>A</w:t>
      </w:r>
      <w:r>
        <w:t>．明确了元首制独裁的原则</w:t>
      </w:r>
      <w:r w:rsidR="00754667">
        <w:rPr>
          <w:rFonts w:hint="eastAsia"/>
        </w:rPr>
        <w:t xml:space="preserve">           </w:t>
      </w:r>
      <w:r>
        <w:t>B</w:t>
      </w:r>
      <w:r>
        <w:t>．反映了王权有限的观念</w:t>
      </w:r>
    </w:p>
    <w:p w14:paraId="26BB9EF8" w14:textId="6183400A" w:rsidR="00F359F1" w:rsidRDefault="00000000" w:rsidP="00754667">
      <w:pPr>
        <w:spacing w:line="360" w:lineRule="auto"/>
        <w:ind w:left="300"/>
        <w:jc w:val="left"/>
        <w:textAlignment w:val="center"/>
      </w:pPr>
      <w:r>
        <w:t>C</w:t>
      </w:r>
      <w:r>
        <w:t>．体现了国王统而不治原则</w:t>
      </w:r>
      <w:r w:rsidR="00754667">
        <w:rPr>
          <w:rFonts w:hint="eastAsia"/>
        </w:rPr>
        <w:t xml:space="preserve">           </w:t>
      </w:r>
      <w:r>
        <w:t>D</w:t>
      </w:r>
      <w:r>
        <w:t>．维护了市民阶层的利益</w:t>
      </w:r>
    </w:p>
    <w:p w14:paraId="06CE52A2" w14:textId="77777777" w:rsidR="00F359F1" w:rsidRDefault="00000000">
      <w:pPr>
        <w:spacing w:line="360" w:lineRule="auto"/>
        <w:jc w:val="left"/>
        <w:textAlignment w:val="center"/>
      </w:pPr>
      <w:r>
        <w:t>5</w:t>
      </w:r>
      <w:r>
        <w:t>．</w:t>
      </w:r>
      <w:r>
        <w:t>14</w:t>
      </w:r>
      <w:r>
        <w:t>世纪初，法国国王为与教皇对抗，召开了由高级教士、世俗贵族和富裕市民代表组成的三级会议。此后，三级会议逐渐成为法国政治生活中的一部分。但该会议往往是在国王需</w:t>
      </w:r>
      <w:r>
        <w:lastRenderedPageBreak/>
        <w:t>要征收新税或需要各等级代表支持处理一些重大问题时才召开。这说明当时三级会议（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444CFB8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．代表了资产阶级利益</w:t>
      </w:r>
      <w:r>
        <w:tab/>
        <w:t>B</w:t>
      </w:r>
      <w:r>
        <w:t>．推动了宗教改革开展</w:t>
      </w:r>
    </w:p>
    <w:p w14:paraId="4EE18888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．有利于王权统治加强</w:t>
      </w:r>
      <w:r>
        <w:tab/>
        <w:t>D</w:t>
      </w:r>
      <w:r>
        <w:t>．强化了封君封臣制度</w:t>
      </w:r>
    </w:p>
    <w:p w14:paraId="3D3F9635" w14:textId="77777777" w:rsidR="00F359F1" w:rsidRDefault="00000000">
      <w:pPr>
        <w:spacing w:line="360" w:lineRule="auto"/>
        <w:jc w:val="left"/>
        <w:textAlignment w:val="center"/>
      </w:pPr>
      <w:r>
        <w:t>6</w:t>
      </w:r>
      <w:r>
        <w:t>．</w:t>
      </w:r>
      <w:r>
        <w:t>811</w:t>
      </w:r>
      <w:r>
        <w:t>年，法兰克王国查理大帝立下遗嘱，将财富分为</w:t>
      </w:r>
      <w:r>
        <w:t>3</w:t>
      </w:r>
      <w:r>
        <w:t>份。其中的两份即刻分给</w:t>
      </w:r>
      <w:r>
        <w:t>21</w:t>
      </w:r>
      <w:r>
        <w:t>座都主教城，由当地的都主教、主教共同处置；剩下一份待他身故后再分给上述都主教城、他的后人、穷人和宫廷仆役。可见，在当时的法兰克王国（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B76435C" w14:textId="44818345" w:rsidR="00F359F1" w:rsidRDefault="00000000" w:rsidP="00754667">
      <w:pPr>
        <w:spacing w:line="360" w:lineRule="auto"/>
        <w:ind w:left="300"/>
        <w:jc w:val="left"/>
        <w:textAlignment w:val="center"/>
      </w:pPr>
      <w:r>
        <w:t>A</w:t>
      </w:r>
      <w:r>
        <w:t>．封君封臣制导致权力分散</w:t>
      </w:r>
      <w:r w:rsidR="00754667">
        <w:rPr>
          <w:rFonts w:hint="eastAsia"/>
        </w:rPr>
        <w:t xml:space="preserve">          </w:t>
      </w:r>
      <w:r>
        <w:t>B</w:t>
      </w:r>
      <w:r>
        <w:t>．神职人员的等级制度得到巩固</w:t>
      </w:r>
    </w:p>
    <w:p w14:paraId="2A048C14" w14:textId="47B0283D" w:rsidR="00F359F1" w:rsidRDefault="00000000" w:rsidP="00754667">
      <w:pPr>
        <w:spacing w:line="360" w:lineRule="auto"/>
        <w:ind w:left="300"/>
        <w:jc w:val="left"/>
        <w:textAlignment w:val="center"/>
      </w:pPr>
      <w:r>
        <w:t>C</w:t>
      </w:r>
      <w:r>
        <w:t>．教会具备抗衡君主的实力</w:t>
      </w:r>
      <w:r w:rsidR="00754667">
        <w:rPr>
          <w:rFonts w:hint="eastAsia"/>
        </w:rPr>
        <w:t xml:space="preserve">          </w:t>
      </w:r>
      <w:r>
        <w:t>D</w:t>
      </w:r>
      <w:r>
        <w:t>．世俗王权需要宗教神权的支持</w:t>
      </w:r>
    </w:p>
    <w:p w14:paraId="0B7EA05B" w14:textId="77777777" w:rsidR="00F359F1" w:rsidRDefault="00000000">
      <w:pPr>
        <w:spacing w:line="360" w:lineRule="auto"/>
        <w:jc w:val="left"/>
        <w:textAlignment w:val="center"/>
      </w:pPr>
      <w:r>
        <w:t>7</w:t>
      </w:r>
      <w:r>
        <w:t>．</w:t>
      </w:r>
      <w:r>
        <w:t>1942</w:t>
      </w:r>
      <w:r>
        <w:t>年，宿迁抗日民主政权</w:t>
      </w:r>
      <w:r>
        <w:t>“</w:t>
      </w:r>
      <w:r>
        <w:t>废除保甲制，实行村组制，建立区乡人民代表会议制，积极筹备召开参议会，改选县政府</w:t>
      </w:r>
      <w:r>
        <w:t>”</w:t>
      </w:r>
      <w:r>
        <w:t>。</w:t>
      </w:r>
      <w:r>
        <w:t xml:space="preserve">1943 </w:t>
      </w:r>
      <w:r>
        <w:t>年，该县根据</w:t>
      </w:r>
      <w:r>
        <w:t>“</w:t>
      </w:r>
      <w:r>
        <w:t>三三制</w:t>
      </w:r>
      <w:r>
        <w:t>”</w:t>
      </w:r>
      <w:r>
        <w:t>原则，普遍实行民选。这些举措（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3DA794F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．促进了根据地的基层治理</w:t>
      </w:r>
      <w:r>
        <w:tab/>
        <w:t>B</w:t>
      </w:r>
      <w:r>
        <w:t>．扩大了中国共产党的阶级基础</w:t>
      </w:r>
    </w:p>
    <w:p w14:paraId="3F6C92A8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．废除了农村的封建制度</w:t>
      </w:r>
      <w:r>
        <w:tab/>
        <w:t>D</w:t>
      </w:r>
      <w:r>
        <w:t>．为抗战的胜利奠定了物质基础</w:t>
      </w:r>
    </w:p>
    <w:p w14:paraId="43431165" w14:textId="77777777" w:rsidR="00F359F1" w:rsidRDefault="00000000">
      <w:pPr>
        <w:spacing w:line="360" w:lineRule="auto"/>
        <w:jc w:val="left"/>
        <w:textAlignment w:val="center"/>
      </w:pPr>
      <w:r>
        <w:t>8</w:t>
      </w:r>
      <w:r>
        <w:t>．</w:t>
      </w:r>
      <w:r>
        <w:t>1939</w:t>
      </w:r>
      <w:r>
        <w:t>年</w:t>
      </w:r>
      <w:r>
        <w:t>1</w:t>
      </w:r>
      <w:r>
        <w:t>月</w:t>
      </w:r>
      <w:r>
        <w:t>17</w:t>
      </w:r>
      <w:r>
        <w:t>日至</w:t>
      </w:r>
      <w:r>
        <w:t>2</w:t>
      </w:r>
      <w:r>
        <w:t>月</w:t>
      </w:r>
      <w:r>
        <w:t>4</w:t>
      </w:r>
      <w:r>
        <w:t>日，中国共产党在延安举行第一届参议会，到会</w:t>
      </w:r>
      <w:r>
        <w:t>145</w:t>
      </w:r>
      <w:r>
        <w:t>人。其中有共产党员，也有其他党派和无党派人士，有工农、小资产阶级的代表，也有商人、开明绅士的代表。这一举措（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E3F5433" w14:textId="3DB6EE3E" w:rsidR="00F359F1" w:rsidRDefault="00000000" w:rsidP="00754667">
      <w:pPr>
        <w:spacing w:line="360" w:lineRule="auto"/>
        <w:ind w:left="300"/>
        <w:jc w:val="left"/>
        <w:textAlignment w:val="center"/>
      </w:pPr>
      <w:r>
        <w:t>A</w:t>
      </w:r>
      <w:r>
        <w:t>．巩固了革命联合统一战线</w:t>
      </w:r>
      <w:r w:rsidR="00754667">
        <w:rPr>
          <w:rFonts w:hint="eastAsia"/>
        </w:rPr>
        <w:t xml:space="preserve">           </w:t>
      </w:r>
      <w:r>
        <w:t>B</w:t>
      </w:r>
      <w:r>
        <w:t>．扭转了抗日战争的发展态势</w:t>
      </w:r>
    </w:p>
    <w:p w14:paraId="27A4B157" w14:textId="70811563" w:rsidR="00F359F1" w:rsidRDefault="00000000" w:rsidP="00754667">
      <w:pPr>
        <w:spacing w:line="360" w:lineRule="auto"/>
        <w:ind w:left="300"/>
        <w:jc w:val="left"/>
        <w:textAlignment w:val="center"/>
      </w:pPr>
      <w:r>
        <w:t>C</w:t>
      </w:r>
      <w:r>
        <w:t>．有助于探索新型政治体制</w:t>
      </w:r>
      <w:r w:rsidR="00754667">
        <w:rPr>
          <w:rFonts w:hint="eastAsia"/>
        </w:rPr>
        <w:t xml:space="preserve">           </w:t>
      </w:r>
      <w:r>
        <w:t>D</w:t>
      </w:r>
      <w:r>
        <w:t>．推动了民主联合政府的建立</w:t>
      </w:r>
    </w:p>
    <w:p w14:paraId="74342BF2" w14:textId="77777777" w:rsidR="00F359F1" w:rsidRDefault="00000000">
      <w:pPr>
        <w:spacing w:line="360" w:lineRule="auto"/>
        <w:jc w:val="left"/>
        <w:textAlignment w:val="center"/>
      </w:pPr>
      <w:r>
        <w:t>9</w:t>
      </w:r>
      <w:r>
        <w:t>．</w:t>
      </w:r>
      <w:r>
        <w:t>1898</w:t>
      </w:r>
      <w:r>
        <w:t>年</w:t>
      </w:r>
      <w:r>
        <w:t>12</w:t>
      </w:r>
      <w:r>
        <w:t>月</w:t>
      </w:r>
      <w:r>
        <w:t>19</w:t>
      </w:r>
      <w:r>
        <w:t>日，上海的《北华捷报》报道说：</w:t>
      </w:r>
      <w:r>
        <w:t>“</w:t>
      </w:r>
      <w:r>
        <w:t>我们欣慰地从北京获悉，新的京师大学堂正在开办</w:t>
      </w:r>
      <w:r>
        <w:t>……</w:t>
      </w:r>
      <w:r>
        <w:t>校长丁韪良博士已经搬入了位于大学校园内的临时寓所之中。</w:t>
      </w:r>
      <w:r>
        <w:t>”</w:t>
      </w:r>
      <w:r>
        <w:t>此报道可佐证，清末（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086DED9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．戊戌变法顺利推行</w:t>
      </w:r>
      <w:r>
        <w:tab/>
        <w:t>B</w:t>
      </w:r>
      <w:r>
        <w:t>．西方文化侵略加剧</w:t>
      </w:r>
    </w:p>
    <w:p w14:paraId="211FEF18" w14:textId="77777777" w:rsidR="00F359F1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．新式教育已成趋势</w:t>
      </w:r>
      <w:r>
        <w:tab/>
        <w:t>D</w:t>
      </w:r>
      <w:r>
        <w:t>．教育改革全面展开</w:t>
      </w:r>
    </w:p>
    <w:p w14:paraId="61243166" w14:textId="77777777" w:rsidR="00F359F1" w:rsidRDefault="00000000">
      <w:pPr>
        <w:spacing w:line="360" w:lineRule="auto"/>
        <w:jc w:val="left"/>
        <w:textAlignment w:val="center"/>
      </w:pPr>
      <w:r>
        <w:t>10</w:t>
      </w:r>
      <w:r>
        <w:t>．</w:t>
      </w:r>
      <w:r>
        <w:t>1902</w:t>
      </w:r>
      <w:r>
        <w:t>年有人在日记中写道：</w:t>
      </w:r>
      <w:r>
        <w:t>“</w:t>
      </w:r>
      <w:r>
        <w:t>今岁省城将一切书院改为大学堂，选才华秀美者入堂肄业，每月给薪水，有主教，有助教，此外又延洋夷为师（刻下尚未延来），在堂助教者，闻洋夷为师而告退之者数人，可谓有志气者矣。</w:t>
      </w:r>
      <w:r>
        <w:t>”</w:t>
      </w:r>
      <w:r>
        <w:t>这反映出（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4881369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．作者具有排外倾向</w:t>
      </w:r>
      <w:r>
        <w:tab/>
        <w:t>B</w:t>
      </w:r>
      <w:r>
        <w:t>．作者主张中体西用</w:t>
      </w:r>
    </w:p>
    <w:p w14:paraId="335D7890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．维新运动渐入高潮</w:t>
      </w:r>
      <w:r>
        <w:tab/>
        <w:t>D</w:t>
      </w:r>
      <w:r>
        <w:t>．天朝上国观念盛行</w:t>
      </w:r>
    </w:p>
    <w:p w14:paraId="23E708DA" w14:textId="77777777" w:rsidR="00F359F1" w:rsidRDefault="00000000">
      <w:pPr>
        <w:spacing w:line="360" w:lineRule="auto"/>
        <w:jc w:val="left"/>
        <w:textAlignment w:val="center"/>
      </w:pPr>
      <w:r>
        <w:t>11</w:t>
      </w:r>
      <w:r>
        <w:t>．唐代朝廷经常派遣监察官员或特使巡行各地，在视察地方政治的同时，监督校核官员课绩。由此可见，唐代（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14B532E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lastRenderedPageBreak/>
        <w:t>A</w:t>
      </w:r>
      <w:r>
        <w:t>．监察机构相互制约</w:t>
      </w:r>
      <w:r>
        <w:tab/>
        <w:t>B</w:t>
      </w:r>
      <w:r>
        <w:t>．地方权力有所扩大</w:t>
      </w:r>
    </w:p>
    <w:p w14:paraId="71C3108E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．行政运行较为规范</w:t>
      </w:r>
      <w:r>
        <w:tab/>
        <w:t>D</w:t>
      </w:r>
      <w:r>
        <w:t>．监察体系日益完善</w:t>
      </w:r>
    </w:p>
    <w:p w14:paraId="635F19BC" w14:textId="77777777" w:rsidR="00F359F1" w:rsidRDefault="00000000">
      <w:pPr>
        <w:spacing w:line="360" w:lineRule="auto"/>
        <w:jc w:val="left"/>
        <w:textAlignment w:val="center"/>
      </w:pPr>
      <w:r>
        <w:t>12</w:t>
      </w:r>
      <w:r>
        <w:t>．近代欧洲存在着大陆法系和英美法系。大陆法系以成文的法典为表现形式，以民法为典型，以演绎为思维特点；英美法系以判例法为主要表现形式，以普通法为基础，以归纳为思维特点。据此可推知（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26B2EC4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．欧洲法律体系独立发展截然不同</w:t>
      </w:r>
      <w:r>
        <w:tab/>
        <w:t>B</w:t>
      </w:r>
      <w:r>
        <w:t>．欧洲法律体系并非都源于罗马法</w:t>
      </w:r>
    </w:p>
    <w:p w14:paraId="74EDFD80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．地理环境决定了法律体系的特点</w:t>
      </w:r>
      <w:r>
        <w:tab/>
        <w:t>D</w:t>
      </w:r>
      <w:r>
        <w:t>．罗马法超越时空具有世界影响力</w:t>
      </w:r>
    </w:p>
    <w:p w14:paraId="692311B5" w14:textId="77777777" w:rsidR="00F359F1" w:rsidRDefault="00000000">
      <w:pPr>
        <w:spacing w:line="360" w:lineRule="auto"/>
        <w:jc w:val="left"/>
        <w:textAlignment w:val="center"/>
      </w:pPr>
      <w:r>
        <w:t>13</w:t>
      </w:r>
      <w:r>
        <w:t>．《史记</w:t>
      </w:r>
      <w:r>
        <w:t>·</w:t>
      </w:r>
      <w:r>
        <w:t>司马相如列传》记载，汉武帝派司马相如</w:t>
      </w:r>
      <w:r>
        <w:t>“</w:t>
      </w:r>
      <w:r>
        <w:t>略定西南夷</w:t>
      </w:r>
      <w:r>
        <w:t>”</w:t>
      </w:r>
      <w:r>
        <w:t>后，</w:t>
      </w:r>
      <w:r>
        <w:t>“</w:t>
      </w:r>
      <w:r>
        <w:t>除边关，关益（通</w:t>
      </w:r>
      <w:r>
        <w:t>“</w:t>
      </w:r>
      <w:r>
        <w:t>隘</w:t>
      </w:r>
      <w:r>
        <w:t>”</w:t>
      </w:r>
      <w:r>
        <w:t>）斥（通</w:t>
      </w:r>
      <w:r>
        <w:t>“</w:t>
      </w:r>
      <w:r>
        <w:t>拆</w:t>
      </w:r>
      <w:r>
        <w:t>”</w:t>
      </w:r>
      <w:r>
        <w:t>），并在此设</w:t>
      </w:r>
      <w:r>
        <w:t>“</w:t>
      </w:r>
      <w:r>
        <w:t>关市</w:t>
      </w:r>
      <w:r>
        <w:t>”</w:t>
      </w:r>
      <w:r>
        <w:t>。这些举措（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16B307D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．体现了华夷一体的策略</w:t>
      </w:r>
      <w:r>
        <w:tab/>
        <w:t>B</w:t>
      </w:r>
      <w:r>
        <w:t>．密切了西南与内地的联系</w:t>
      </w:r>
    </w:p>
    <w:p w14:paraId="082FD5D3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．创设新式民族管理机构</w:t>
      </w:r>
      <w:r>
        <w:tab/>
        <w:t>D</w:t>
      </w:r>
      <w:r>
        <w:t>．加强了对两广地区的管理</w:t>
      </w:r>
    </w:p>
    <w:p w14:paraId="2E2AABCA" w14:textId="77777777" w:rsidR="00F359F1" w:rsidRDefault="00000000">
      <w:pPr>
        <w:spacing w:line="360" w:lineRule="auto"/>
        <w:jc w:val="left"/>
        <w:textAlignment w:val="center"/>
      </w:pPr>
      <w:r>
        <w:t>14</w:t>
      </w:r>
      <w:r>
        <w:t>．下图是与中国建交的国家增长情况图，图中黑点是与中国建交国家增长的拐点，其中对</w:t>
      </w:r>
      <w:r>
        <w:t>20</w:t>
      </w:r>
      <w:r>
        <w:t>世纪</w:t>
      </w:r>
      <w:r>
        <w:t>70</w:t>
      </w:r>
      <w:r>
        <w:t>年代末拐点解读正确的是（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60D22D6" w14:textId="77777777" w:rsidR="00F359F1" w:rsidRDefault="00000000" w:rsidP="00754667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1F249DFE" wp14:editId="644CA83B">
            <wp:extent cx="3558540" cy="1379220"/>
            <wp:effectExtent l="0" t="0" r="3810" b="0"/>
            <wp:docPr id="100005" name="图片 100005" descr="@@@348418c601d24fab88fac78b33742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8540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94DA1" w14:textId="0E6B771D" w:rsidR="00F359F1" w:rsidRDefault="00000000" w:rsidP="00754667">
      <w:pPr>
        <w:spacing w:line="360" w:lineRule="auto"/>
        <w:ind w:left="380"/>
        <w:jc w:val="left"/>
        <w:textAlignment w:val="center"/>
      </w:pPr>
      <w:r>
        <w:t>A</w:t>
      </w:r>
      <w:r>
        <w:t>．新中国成立打破了西方国家封锁</w:t>
      </w:r>
      <w:r w:rsidR="00754667">
        <w:rPr>
          <w:rFonts w:hint="eastAsia"/>
        </w:rPr>
        <w:t xml:space="preserve">   </w:t>
      </w:r>
      <w:r>
        <w:t>B</w:t>
      </w:r>
      <w:r>
        <w:t>．中美正式建交后出现了建交的热潮</w:t>
      </w:r>
    </w:p>
    <w:p w14:paraId="114CC1D0" w14:textId="4F9D83E3" w:rsidR="00F359F1" w:rsidRDefault="00000000" w:rsidP="00754667">
      <w:pPr>
        <w:spacing w:line="360" w:lineRule="auto"/>
        <w:ind w:left="380"/>
        <w:jc w:val="left"/>
        <w:textAlignment w:val="center"/>
      </w:pPr>
      <w:r>
        <w:t>C</w:t>
      </w:r>
      <w:r>
        <w:t>．改革开放实施吸引众多国家建交</w:t>
      </w:r>
      <w:r w:rsidR="00754667">
        <w:rPr>
          <w:rFonts w:hint="eastAsia"/>
        </w:rPr>
        <w:t xml:space="preserve">   </w:t>
      </w:r>
      <w:r>
        <w:t>D</w:t>
      </w:r>
      <w:r>
        <w:t>．新时代中国特色外交促进外交发展</w:t>
      </w:r>
    </w:p>
    <w:p w14:paraId="48B40D92" w14:textId="77777777" w:rsidR="00F359F1" w:rsidRDefault="00000000">
      <w:pPr>
        <w:spacing w:line="360" w:lineRule="auto"/>
        <w:jc w:val="left"/>
        <w:textAlignment w:val="center"/>
      </w:pPr>
      <w:r>
        <w:t>15</w:t>
      </w:r>
      <w:r>
        <w:t>．</w:t>
      </w:r>
      <w:r>
        <w:t>1971</w:t>
      </w:r>
      <w:r>
        <w:t>年</w:t>
      </w:r>
      <w:r>
        <w:t>12</w:t>
      </w:r>
      <w:r>
        <w:t>月，十国集团（英国、美国、法国、联邦德国、意大利、日本、荷兰、加拿大、比利时、瑞典）签署了《史密森协议》。该协议将黄金官价从</w:t>
      </w:r>
      <w:r>
        <w:t>1</w:t>
      </w:r>
      <w:r>
        <w:t>盎司</w:t>
      </w:r>
      <w:r>
        <w:t>35</w:t>
      </w:r>
      <w:r>
        <w:t>美元提高到</w:t>
      </w:r>
      <w:r>
        <w:t>38</w:t>
      </w:r>
      <w:r>
        <w:t>美元，各国货币对美元汇率的波动幅度由原来平价上下各</w:t>
      </w:r>
      <w:r>
        <w:t>1%</w:t>
      </w:r>
      <w:r>
        <w:t>扩大到新订汇率上下各</w:t>
      </w:r>
      <w:r>
        <w:t>2.25%</w:t>
      </w:r>
      <w:r>
        <w:t>。这一协议（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E797F0B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．折射出美国金融霸权遭到冲击</w:t>
      </w:r>
      <w:r>
        <w:tab/>
        <w:t>B</w:t>
      </w:r>
      <w:r>
        <w:t>．造成了全球经济的持续动荡</w:t>
      </w:r>
    </w:p>
    <w:p w14:paraId="560B9D24" w14:textId="77777777" w:rsidR="00F359F1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．反映出世界货币走向了多元化</w:t>
      </w:r>
      <w:r>
        <w:tab/>
        <w:t>D</w:t>
      </w:r>
      <w:r>
        <w:t>．标志着国际金本位制的终结</w:t>
      </w:r>
    </w:p>
    <w:p w14:paraId="1698473F" w14:textId="0B14A43E" w:rsidR="00F359F1" w:rsidRDefault="00000000">
      <w:pPr>
        <w:spacing w:line="360" w:lineRule="auto"/>
        <w:jc w:val="left"/>
        <w:textAlignment w:val="center"/>
      </w:pPr>
      <w:r>
        <w:t>16</w:t>
      </w:r>
      <w:r>
        <w:t>．中国传统慈善以</w:t>
      </w:r>
      <w:r>
        <w:t>“</w:t>
      </w:r>
      <w:r>
        <w:t>供养周济</w:t>
      </w:r>
      <w:r>
        <w:t>”</w:t>
      </w:r>
      <w:r>
        <w:t>为主。道光年间，清朝官员裕谦在武昌设立恤孤局，对孤儿因材施教，聪颖者读书识字，平庸者教之纺花、织布、结网等手艺。这表明当时（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F58CA5E" w14:textId="2E8BC9BE" w:rsidR="00F359F1" w:rsidRDefault="00000000" w:rsidP="00754667">
      <w:pPr>
        <w:spacing w:line="360" w:lineRule="auto"/>
        <w:ind w:left="380"/>
        <w:jc w:val="left"/>
        <w:textAlignment w:val="center"/>
      </w:pPr>
      <w:r>
        <w:t>A</w:t>
      </w:r>
      <w:r>
        <w:t>．社会救济范围逐渐扩大</w:t>
      </w:r>
      <w:r w:rsidR="00754667">
        <w:rPr>
          <w:rFonts w:hint="eastAsia"/>
        </w:rPr>
        <w:t xml:space="preserve">           </w:t>
      </w:r>
      <w:r>
        <w:t>B</w:t>
      </w:r>
      <w:r>
        <w:t>．宗族内部救助活动逐渐兴起</w:t>
      </w:r>
    </w:p>
    <w:p w14:paraId="1E48C38F" w14:textId="21172FB7" w:rsidR="00F359F1" w:rsidRPr="00754667" w:rsidRDefault="00000000" w:rsidP="00754667">
      <w:pPr>
        <w:spacing w:line="360" w:lineRule="auto"/>
        <w:ind w:left="380"/>
        <w:jc w:val="left"/>
        <w:textAlignment w:val="center"/>
      </w:pPr>
      <w:r>
        <w:t>C</w:t>
      </w:r>
      <w:r>
        <w:t>．官府是社会救济的主体</w:t>
      </w:r>
      <w:r w:rsidR="00754667">
        <w:rPr>
          <w:rFonts w:hint="eastAsia"/>
        </w:rPr>
        <w:t xml:space="preserve">            </w:t>
      </w:r>
      <w:r>
        <w:t>D</w:t>
      </w:r>
      <w:r>
        <w:t>．优抚弱势群体理念发生变化</w:t>
      </w:r>
    </w:p>
    <w:p w14:paraId="6882FC8B" w14:textId="77777777" w:rsidR="00F359F1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二、材料题</w:t>
      </w:r>
    </w:p>
    <w:p w14:paraId="041F5829" w14:textId="77777777" w:rsidR="00F359F1" w:rsidRDefault="00000000">
      <w:pPr>
        <w:spacing w:line="360" w:lineRule="auto"/>
        <w:jc w:val="left"/>
        <w:textAlignment w:val="center"/>
      </w:pPr>
      <w:r>
        <w:t>17</w:t>
      </w:r>
      <w:r>
        <w:t>．阅读材料</w:t>
      </w:r>
      <w:r>
        <w:t>,</w:t>
      </w:r>
      <w:r>
        <w:t>完成下列要求。</w:t>
      </w:r>
    </w:p>
    <w:p w14:paraId="4185D371" w14:textId="77777777" w:rsidR="00F359F1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材料一</w:t>
      </w:r>
    </w:p>
    <w:p w14:paraId="460D78E2" w14:textId="77777777" w:rsidR="00F359F1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唐玄宗在位时期,由手均田制瓦解,建立于其悬上的府兵制亦随之瓦解,开始实行募兵制,募兵制的恶性发展形成了藩镇。为防止周边各族的进犯,大量扩充防成军镇,设节度使,赋予军事统领、财政支配及监察管内州县的权力。安史之乱爆发后,为了抵御叛军进攻,军镇制度扩展到全国。安史之乱平息后,河北地区仍由安史旧部统领,并且出现了割据自雄的局面;同时,为抗击安史叛乱,中原地区亦相继置镇,战后不仅未能去,反而作为与河朔抗衡的武装力量而长期存在;战争期间,吐蕃、党项乘虚而入,战乱甫平,唐廷调集大批兵力守西北,遂成重镇,后南诏勃兴,西南边隆亦为军事要区。以上三处都是重兵集结之地,唯东南诸道,战时虽亦设镇,但因无重大军事需要,养兵不多,故成为唐王朝的财源之地。</w:t>
      </w:r>
    </w:p>
    <w:p w14:paraId="0DE33FFC" w14:textId="77777777" w:rsidR="00F359F1" w:rsidRDefault="00000000">
      <w:pPr>
        <w:spacing w:line="360" w:lineRule="auto"/>
        <w:ind w:firstLine="560"/>
        <w:jc w:val="right"/>
        <w:textAlignment w:val="center"/>
      </w:pPr>
      <w:r>
        <w:rPr>
          <w:rFonts w:ascii="楷体" w:eastAsia="楷体" w:hAnsi="楷体" w:cs="楷体"/>
        </w:rPr>
        <w:t>——摘编自张国刚《唐代藩镇研究》</w:t>
      </w:r>
    </w:p>
    <w:p w14:paraId="621A5DC4" w14:textId="77777777" w:rsidR="00F359F1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材料二</w:t>
      </w:r>
    </w:p>
    <w:p w14:paraId="288C2363" w14:textId="77777777" w:rsidR="00F359F1" w:rsidRDefault="00000000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清代在内地十八省以外的地区实行军府制度,这样的边境治理制度在清朝中前期颇为有效。黑龙江将军、吉林将军和盛京将军掌管大清龙兴之地;伊犁将军管辖新疆;乌里雅苏台将管辖外蒙古及唐努乌梁海。1762年（乾隆二十七年）,清政府设置伊犁将军,全各级大臣都受伊犁将军辖,其主要职责是:统辖天山南北各地驻防官兵,兼管全疆行政事务,考察官吏,定其升迁，屯田置牧,组织生产,核征赋税,巡边守土,办理王公入觐及藩属事务。伊犁将军是天山南北最高的军事行政长官,由满族亲贵或蒙古重臣出任。伊犁将军的设置,使中国的北部防线最后形成横贯东西的完整体系。</w:t>
      </w:r>
    </w:p>
    <w:p w14:paraId="2336581F" w14:textId="77777777" w:rsidR="00F359F1" w:rsidRDefault="00000000">
      <w:pPr>
        <w:spacing w:line="360" w:lineRule="auto"/>
        <w:ind w:firstLine="560"/>
        <w:jc w:val="right"/>
        <w:textAlignment w:val="center"/>
      </w:pPr>
      <w:r>
        <w:rPr>
          <w:rFonts w:ascii="楷体" w:eastAsia="楷体" w:hAnsi="楷体" w:cs="楷体"/>
        </w:rPr>
        <w:t>——据管守新《清代新疆军府制度研究概述》等文章改编</w:t>
      </w:r>
    </w:p>
    <w:p w14:paraId="76DF57DA" w14:textId="77777777" w:rsidR="00F359F1" w:rsidRDefault="00000000">
      <w:pPr>
        <w:spacing w:line="360" w:lineRule="auto"/>
        <w:jc w:val="left"/>
        <w:textAlignment w:val="center"/>
      </w:pPr>
      <w:r>
        <w:t>（</w:t>
      </w:r>
      <w:r>
        <w:t>1</w:t>
      </w:r>
      <w:r>
        <w:t>）根据材料一</w:t>
      </w:r>
      <w:r>
        <w:t>,</w:t>
      </w:r>
      <w:r>
        <w:t>概括唐代藩镇林立格局形成的原因。</w:t>
      </w:r>
    </w:p>
    <w:p w14:paraId="713A480B" w14:textId="77777777" w:rsidR="00F359F1" w:rsidRDefault="00000000">
      <w:pPr>
        <w:spacing w:line="360" w:lineRule="auto"/>
        <w:jc w:val="left"/>
        <w:textAlignment w:val="center"/>
      </w:pPr>
      <w:r>
        <w:t>（</w:t>
      </w:r>
      <w:r>
        <w:t>2</w:t>
      </w:r>
      <w:r>
        <w:t>）根据两则材料</w:t>
      </w:r>
      <w:r>
        <w:t>,</w:t>
      </w:r>
      <w:r>
        <w:t>比较唐代藩镇制度与清代军府制度的异同点。</w:t>
      </w:r>
    </w:p>
    <w:p w14:paraId="718BAFA1" w14:textId="77777777" w:rsidR="00F359F1" w:rsidRDefault="00F359F1" w:rsidP="00754667">
      <w:pPr>
        <w:jc w:val="center"/>
        <w:textAlignment w:val="center"/>
      </w:pPr>
    </w:p>
    <w:sectPr w:rsidR="00F359F1">
      <w:footerReference w:type="even" r:id="rId10"/>
      <w:footerReference w:type="default" r:id="rId11"/>
      <w:pgSz w:w="11907" w:h="16839" w:code="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BE8E" w14:textId="77777777" w:rsidR="004819DB" w:rsidRDefault="004819DB">
      <w:r>
        <w:separator/>
      </w:r>
    </w:p>
  </w:endnote>
  <w:endnote w:type="continuationSeparator" w:id="0">
    <w:p w14:paraId="686CA44D" w14:textId="77777777" w:rsidR="004819DB" w:rsidRDefault="0048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51E2" w14:textId="0F0FEC5C" w:rsidR="009E611B" w:rsidRPr="0064153B" w:rsidRDefault="00754667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010669">
      <w:rPr>
        <w:noProof/>
      </w:rPr>
      <w:instrText>4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010669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010669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010669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0451" w14:textId="6C315744" w:rsidR="009E611B" w:rsidRPr="0064153B" w:rsidRDefault="00754667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010669">
      <w:rPr>
        <w:noProof/>
      </w:rPr>
      <w:instrText>3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010669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010669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010669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9338D" w14:textId="77777777" w:rsidR="004819DB" w:rsidRDefault="004819DB">
      <w:r>
        <w:separator/>
      </w:r>
    </w:p>
  </w:footnote>
  <w:footnote w:type="continuationSeparator" w:id="0">
    <w:p w14:paraId="3F88B4CA" w14:textId="77777777" w:rsidR="004819DB" w:rsidRDefault="0048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8pt;height:28.8pt;visibility:visible;mso-wrap-style:square" o:bullet="t">
        <v:imagedata r:id="rId1" o:title=""/>
      </v:shape>
    </w:pict>
  </w:numPicBullet>
  <w:abstractNum w:abstractNumId="0" w15:restartNumberingAfterBreak="0">
    <w:nsid w:val="2D6C3E56"/>
    <w:multiLevelType w:val="hybridMultilevel"/>
    <w:tmpl w:val="40764882"/>
    <w:lvl w:ilvl="0" w:tplc="38D4691E">
      <w:start w:val="1"/>
      <w:numFmt w:val="bullet"/>
      <w:lvlText w:val=""/>
      <w:lvlPicBulletId w:val="0"/>
      <w:lvlJc w:val="left"/>
      <w:pPr>
        <w:tabs>
          <w:tab w:val="num" w:pos="440"/>
        </w:tabs>
        <w:ind w:left="440" w:firstLine="0"/>
      </w:pPr>
      <w:rPr>
        <w:rFonts w:ascii="Symbol" w:hAnsi="Symbol" w:hint="default"/>
      </w:rPr>
    </w:lvl>
    <w:lvl w:ilvl="1" w:tplc="2AA433A6" w:tentative="1">
      <w:start w:val="1"/>
      <w:numFmt w:val="bullet"/>
      <w:lvlText w:val=""/>
      <w:lvlJc w:val="left"/>
      <w:pPr>
        <w:tabs>
          <w:tab w:val="num" w:pos="880"/>
        </w:tabs>
        <w:ind w:left="880" w:firstLine="0"/>
      </w:pPr>
      <w:rPr>
        <w:rFonts w:ascii="Symbol" w:hAnsi="Symbol" w:hint="default"/>
      </w:rPr>
    </w:lvl>
    <w:lvl w:ilvl="2" w:tplc="AFD28504" w:tentative="1">
      <w:start w:val="1"/>
      <w:numFmt w:val="bullet"/>
      <w:lvlText w:val=""/>
      <w:lvlJc w:val="left"/>
      <w:pPr>
        <w:tabs>
          <w:tab w:val="num" w:pos="1320"/>
        </w:tabs>
        <w:ind w:left="1320" w:firstLine="0"/>
      </w:pPr>
      <w:rPr>
        <w:rFonts w:ascii="Symbol" w:hAnsi="Symbol" w:hint="default"/>
      </w:rPr>
    </w:lvl>
    <w:lvl w:ilvl="3" w:tplc="672EA712" w:tentative="1">
      <w:start w:val="1"/>
      <w:numFmt w:val="bullet"/>
      <w:lvlText w:val=""/>
      <w:lvlJc w:val="left"/>
      <w:pPr>
        <w:tabs>
          <w:tab w:val="num" w:pos="1760"/>
        </w:tabs>
        <w:ind w:left="1760" w:firstLine="0"/>
      </w:pPr>
      <w:rPr>
        <w:rFonts w:ascii="Symbol" w:hAnsi="Symbol" w:hint="default"/>
      </w:rPr>
    </w:lvl>
    <w:lvl w:ilvl="4" w:tplc="0FB039C6" w:tentative="1">
      <w:start w:val="1"/>
      <w:numFmt w:val="bullet"/>
      <w:lvlText w:val=""/>
      <w:lvlJc w:val="left"/>
      <w:pPr>
        <w:tabs>
          <w:tab w:val="num" w:pos="2200"/>
        </w:tabs>
        <w:ind w:left="2200" w:firstLine="0"/>
      </w:pPr>
      <w:rPr>
        <w:rFonts w:ascii="Symbol" w:hAnsi="Symbol" w:hint="default"/>
      </w:rPr>
    </w:lvl>
    <w:lvl w:ilvl="5" w:tplc="C9E25944" w:tentative="1">
      <w:start w:val="1"/>
      <w:numFmt w:val="bullet"/>
      <w:lvlText w:val=""/>
      <w:lvlJc w:val="left"/>
      <w:pPr>
        <w:tabs>
          <w:tab w:val="num" w:pos="2640"/>
        </w:tabs>
        <w:ind w:left="2640" w:firstLine="0"/>
      </w:pPr>
      <w:rPr>
        <w:rFonts w:ascii="Symbol" w:hAnsi="Symbol" w:hint="default"/>
      </w:rPr>
    </w:lvl>
    <w:lvl w:ilvl="6" w:tplc="023E7386" w:tentative="1">
      <w:start w:val="1"/>
      <w:numFmt w:val="bullet"/>
      <w:lvlText w:val=""/>
      <w:lvlJc w:val="left"/>
      <w:pPr>
        <w:tabs>
          <w:tab w:val="num" w:pos="3080"/>
        </w:tabs>
        <w:ind w:left="3080" w:firstLine="0"/>
      </w:pPr>
      <w:rPr>
        <w:rFonts w:ascii="Symbol" w:hAnsi="Symbol" w:hint="default"/>
      </w:rPr>
    </w:lvl>
    <w:lvl w:ilvl="7" w:tplc="4C049236" w:tentative="1">
      <w:start w:val="1"/>
      <w:numFmt w:val="bullet"/>
      <w:lvlText w:val=""/>
      <w:lvlJc w:val="left"/>
      <w:pPr>
        <w:tabs>
          <w:tab w:val="num" w:pos="3520"/>
        </w:tabs>
        <w:ind w:left="3520" w:firstLine="0"/>
      </w:pPr>
      <w:rPr>
        <w:rFonts w:ascii="Symbol" w:hAnsi="Symbol" w:hint="default"/>
      </w:rPr>
    </w:lvl>
    <w:lvl w:ilvl="8" w:tplc="A20C2690" w:tentative="1">
      <w:start w:val="1"/>
      <w:numFmt w:val="bullet"/>
      <w:lvlText w:val=""/>
      <w:lvlJc w:val="left"/>
      <w:pPr>
        <w:tabs>
          <w:tab w:val="num" w:pos="3960"/>
        </w:tabs>
        <w:ind w:left="3960" w:firstLine="0"/>
      </w:pPr>
      <w:rPr>
        <w:rFonts w:ascii="Symbol" w:hAnsi="Symbol" w:hint="default"/>
      </w:rPr>
    </w:lvl>
  </w:abstractNum>
  <w:num w:numId="1" w16cid:durableId="172991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10669"/>
    <w:rsid w:val="000232A6"/>
    <w:rsid w:val="00043B54"/>
    <w:rsid w:val="00065CD2"/>
    <w:rsid w:val="00076F72"/>
    <w:rsid w:val="001D7A06"/>
    <w:rsid w:val="002336CB"/>
    <w:rsid w:val="00284433"/>
    <w:rsid w:val="002A1EC6"/>
    <w:rsid w:val="002E035E"/>
    <w:rsid w:val="00326982"/>
    <w:rsid w:val="003F38F2"/>
    <w:rsid w:val="004603ED"/>
    <w:rsid w:val="004819DB"/>
    <w:rsid w:val="004C4479"/>
    <w:rsid w:val="0064153B"/>
    <w:rsid w:val="006B16C5"/>
    <w:rsid w:val="006D2B45"/>
    <w:rsid w:val="00754667"/>
    <w:rsid w:val="00776133"/>
    <w:rsid w:val="00855687"/>
    <w:rsid w:val="008C07DE"/>
    <w:rsid w:val="009B5326"/>
    <w:rsid w:val="009E611B"/>
    <w:rsid w:val="00A30CCE"/>
    <w:rsid w:val="00A56BC9"/>
    <w:rsid w:val="00AC3E9C"/>
    <w:rsid w:val="00B0293B"/>
    <w:rsid w:val="00B610E5"/>
    <w:rsid w:val="00BC4F14"/>
    <w:rsid w:val="00BC62FB"/>
    <w:rsid w:val="00BF535F"/>
    <w:rsid w:val="00C806B0"/>
    <w:rsid w:val="00E23DDF"/>
    <w:rsid w:val="00E476EE"/>
    <w:rsid w:val="00EF035E"/>
    <w:rsid w:val="00F359F1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889AC3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  <w:style w:type="paragraph" w:styleId="a7">
    <w:name w:val="List Paragraph"/>
    <w:basedOn w:val="a"/>
    <w:uiPriority w:val="34"/>
    <w:qFormat/>
    <w:rsid w:val="004C44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式雄 黄</cp:lastModifiedBy>
  <cp:revision>20</cp:revision>
  <dcterms:created xsi:type="dcterms:W3CDTF">2017-07-19T12:07:00Z</dcterms:created>
  <dcterms:modified xsi:type="dcterms:W3CDTF">2025-01-13T07:05:00Z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266abf2a3c4c494398b73ac6d699a63anjq4otezndqw</vt:lpwstr>
  </property>
</Properties>
</file>