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高二生物学科寒假作业（复习）  Day 5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4337C46">
      <w:pPr>
        <w:numPr>
          <w:ilvl w:val="0"/>
          <w:numId w:val="1"/>
        </w:numPr>
        <w:rPr>
          <w:rFonts w:hint="eastAsia"/>
          <w:sz w:val="32"/>
          <w:szCs w:val="32"/>
          <w:lang w:val="en-US" w:eastAsia="zh-CN"/>
        </w:rPr>
      </w:pPr>
      <w:r>
        <w:rPr>
          <w:rFonts w:hint="eastAsia"/>
          <w:sz w:val="32"/>
          <w:szCs w:val="32"/>
          <w:lang w:val="en-US" w:eastAsia="zh-CN"/>
        </w:rPr>
        <w:t>核心知识的归纳总结和梳理模块</w:t>
      </w:r>
      <w:r>
        <w:rPr>
          <w:rFonts w:hint="eastAsia"/>
          <w:b/>
          <w:bCs/>
          <w:sz w:val="32"/>
          <w:szCs w:val="32"/>
          <w:lang w:val="en-US" w:eastAsia="zh-CN"/>
        </w:rPr>
        <w:t>（免疫调节）</w:t>
      </w:r>
    </w:p>
    <w:p w14:paraId="3151DDEA">
      <w:pPr>
        <w:keepNext w:val="0"/>
        <w:keepLines w:val="0"/>
        <w:pageBreakBefore w:val="0"/>
        <w:kinsoku/>
        <w:wordWrap/>
        <w:overflowPunct/>
        <w:topLinePunct w:val="0"/>
        <w:bidi w:val="0"/>
        <w:snapToGrid w:val="0"/>
        <w:spacing w:line="312" w:lineRule="auto"/>
        <w:jc w:val="center"/>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第三节 免疫失调</w:t>
      </w:r>
    </w:p>
    <w:p w14:paraId="6F8284DD">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1、过敏反应：已免疫的机体，在再次接触相同过敏原时，有时会发生引发组织损伤或功能紊乱的免疫反应，这样的免疫反应称为过敏反应。引起过敏反应的抗原物质叫作过敏原。</w:t>
      </w:r>
    </w:p>
    <w:p w14:paraId="444E0328">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①机理</w:t>
      </w:r>
    </w:p>
    <w:p w14:paraId="01EDC397">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rPr>
        <w:drawing>
          <wp:inline distT="0" distB="0" distL="114300" distR="114300">
            <wp:extent cx="3187065" cy="1588135"/>
            <wp:effectExtent l="0" t="0" r="13335" b="1206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9"/>
                    <a:stretch>
                      <a:fillRect/>
                    </a:stretch>
                  </pic:blipFill>
                  <pic:spPr>
                    <a:xfrm>
                      <a:off x="0" y="0"/>
                      <a:ext cx="3187065" cy="1588135"/>
                    </a:xfrm>
                    <a:prstGeom prst="rect">
                      <a:avLst/>
                    </a:prstGeom>
                    <a:noFill/>
                    <a:ln>
                      <a:noFill/>
                    </a:ln>
                  </pic:spPr>
                </pic:pic>
              </a:graphicData>
            </a:graphic>
          </wp:inline>
        </w:drawing>
      </w:r>
    </w:p>
    <w:p w14:paraId="391980D9">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②</w:t>
      </w:r>
      <w:r>
        <w:rPr>
          <w:rFonts w:hint="eastAsia" w:ascii="宋体" w:hAnsi="宋体" w:eastAsia="宋体" w:cs="宋体"/>
          <w:b w:val="0"/>
          <w:bCs w:val="0"/>
          <w:sz w:val="24"/>
          <w:szCs w:val="24"/>
          <w:lang w:val="en-US" w:eastAsia="zh-CN"/>
        </w:rPr>
        <w:t>特点：</w:t>
      </w:r>
      <w:r>
        <w:rPr>
          <w:rFonts w:hint="eastAsia" w:ascii="宋体" w:hAnsi="宋体" w:eastAsia="宋体" w:cs="宋体"/>
          <w:b w:val="0"/>
          <w:bCs w:val="0"/>
          <w:sz w:val="24"/>
          <w:szCs w:val="24"/>
          <w:lang w:eastAsia="zh-CN"/>
        </w:rPr>
        <w:t>（1）过敏反应有快慢之分；有明显的遗传倾向和个体差异</w:t>
      </w:r>
    </w:p>
    <w:p w14:paraId="6F5A6149">
      <w:pPr>
        <w:keepNext w:val="0"/>
        <w:keepLines w:val="0"/>
        <w:pageBreakBefore w:val="0"/>
        <w:kinsoku/>
        <w:wordWrap/>
        <w:overflowPunct/>
        <w:topLinePunct w:val="0"/>
        <w:bidi w:val="0"/>
        <w:snapToGrid w:val="0"/>
        <w:spacing w:line="312" w:lineRule="auto"/>
        <w:ind w:firstLine="960" w:firstLineChars="4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（2）找出过敏原并尽量避免再次接触该过敏原是预防过敏反应的主要措施。</w:t>
      </w:r>
    </w:p>
    <w:p w14:paraId="27A40122">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2、自身免疫病</w:t>
      </w:r>
    </w:p>
    <w:p w14:paraId="47AC1F03">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①</w:t>
      </w:r>
      <w:r>
        <w:rPr>
          <w:rFonts w:hint="eastAsia" w:ascii="宋体" w:hAnsi="宋体" w:eastAsia="宋体" w:cs="宋体"/>
          <w:b w:val="0"/>
          <w:bCs w:val="0"/>
          <w:sz w:val="24"/>
          <w:szCs w:val="24"/>
          <w:lang w:val="en-US" w:eastAsia="zh-CN"/>
        </w:rPr>
        <w:t>概念：</w:t>
      </w:r>
      <w:r>
        <w:rPr>
          <w:rFonts w:hint="eastAsia" w:ascii="宋体" w:hAnsi="宋体" w:eastAsia="宋体" w:cs="宋体"/>
          <w:b w:val="0"/>
          <w:bCs w:val="0"/>
          <w:sz w:val="24"/>
          <w:szCs w:val="24"/>
          <w:lang w:eastAsia="zh-CN"/>
        </w:rPr>
        <w:t>由于免疫系统异常敏感，反应过度，“敌我不分”地将自身物质当作抗原加以排斥或致其损伤引起的疾病。</w:t>
      </w:r>
    </w:p>
    <w:p w14:paraId="5C6B36AE">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常见的自身免疫病有风湿性心脏病、类风湿关节炎、系统性红斑狼疮等。</w:t>
      </w:r>
    </w:p>
    <w:p w14:paraId="37BD6A8E">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②机理（以风湿性心脏病为例）：</w:t>
      </w:r>
    </w:p>
    <w:p w14:paraId="7985095C">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某种链球菌的表面有一种抗原分子，与心脏瓣膜上一种物质的结构十分相似，当人体感染这种病菌后，免疫系统不仅向病菌发起进攻，而且也向心脏瓣膜发起进攻。结果，在消灭病菌的同时，心脏也受到损伤。</w:t>
      </w:r>
    </w:p>
    <w:p w14:paraId="7BF1E5DB">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3、免疫缺陷病：指机体免疫功能不足或缺乏而引起的疾病</w:t>
      </w:r>
    </w:p>
    <w:p w14:paraId="785515CB">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①先天性疫缺陷病：如重症联合免疫缺陷病</w:t>
      </w:r>
    </w:p>
    <w:p w14:paraId="1A899A11">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②获得性免疫缺陷病：如艾滋病；大多数免疫缺陷病都属于获得性免疫缺陷病。</w:t>
      </w:r>
    </w:p>
    <w:p w14:paraId="2254B6B2">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val="en-US" w:eastAsia="zh-CN"/>
        </w:rPr>
        <w:sectPr>
          <w:headerReference r:id="rId3" w:type="default"/>
          <w:footerReference r:id="rId4" w:type="default"/>
          <w:footerReference r:id="rId5" w:type="even"/>
          <w:pgSz w:w="11907" w:h="16839"/>
          <w:pgMar w:top="1440" w:right="1800" w:bottom="1440" w:left="1800" w:header="851" w:footer="425" w:gutter="0"/>
          <w:pgNumType w:fmt="decimal"/>
          <w:cols w:space="425" w:num="1" w:sep="1"/>
          <w:docGrid w:type="lines" w:linePitch="312" w:charSpace="0"/>
        </w:sectPr>
      </w:pPr>
    </w:p>
    <w:p w14:paraId="19556AA9">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第四节  免疫调节的应用</w:t>
      </w:r>
    </w:p>
    <w:p w14:paraId="64ECD47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1、疫苗：是指用灭活的或减毒的病原体制成的生物制品。</w:t>
      </w:r>
    </w:p>
    <w:p w14:paraId="54123EC4">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（1）减毒疫苗:丧失致病能力，毒性减弱或基本无毒的活菌或病毒。常用的有卡介苗、牛痘疫苗等。接种一次且接种量少，免疫时间长，效果好。</w:t>
      </w:r>
    </w:p>
    <w:p w14:paraId="617F53E6">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（2）灭活疫苗:强抗原病原微生物用理化方法灭活后制作而成。常用的有伤寒疫苗、狂犬疫苗等。制备简单，保存时间长且相对较安全。接种量大且需多次接种。</w:t>
      </w:r>
    </w:p>
    <w:p w14:paraId="15695C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2、器官移植：面临的问题:免疫排斥、供体器官短缺等。</w:t>
      </w:r>
    </w:p>
    <w:p w14:paraId="048E7DF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（1）组织相容性抗原:每个人的细胞表面带有的一组与别人不同的蛋白质，也叫人类白细胞抗原，简称HLA。</w:t>
      </w:r>
    </w:p>
    <w:p w14:paraId="4415C811">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（2）器官移植的成败，主要取决于供者与受者的HLA是否一致或相近。免疫抑制剂的应用，大大提高了器官移植的成活率。</w:t>
      </w:r>
    </w:p>
    <w:p w14:paraId="1130C2F5">
      <w:pPr>
        <w:keepNext w:val="0"/>
        <w:keepLines w:val="0"/>
        <w:pageBreakBefore w:val="0"/>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免疫预防与免疫治疗的区别</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2268"/>
        <w:gridCol w:w="2835"/>
      </w:tblGrid>
      <w:tr w14:paraId="2F8AE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vAlign w:val="top"/>
          </w:tcPr>
          <w:p w14:paraId="1A36016B">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项目</w:t>
            </w:r>
          </w:p>
        </w:tc>
        <w:tc>
          <w:tcPr>
            <w:tcW w:w="2268" w:type="dxa"/>
            <w:noWrap w:val="0"/>
            <w:vAlign w:val="top"/>
          </w:tcPr>
          <w:p w14:paraId="25B22693">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免疫预防</w:t>
            </w:r>
          </w:p>
        </w:tc>
        <w:tc>
          <w:tcPr>
            <w:tcW w:w="2835" w:type="dxa"/>
            <w:noWrap w:val="0"/>
            <w:vAlign w:val="top"/>
          </w:tcPr>
          <w:p w14:paraId="483CC6B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免疫治疗</w:t>
            </w:r>
          </w:p>
        </w:tc>
      </w:tr>
      <w:tr w14:paraId="4A84A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vAlign w:val="top"/>
          </w:tcPr>
          <w:p w14:paraId="6E67280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时间</w:t>
            </w:r>
          </w:p>
        </w:tc>
        <w:tc>
          <w:tcPr>
            <w:tcW w:w="2268" w:type="dxa"/>
            <w:noWrap w:val="0"/>
            <w:vAlign w:val="top"/>
          </w:tcPr>
          <w:p w14:paraId="5C70D6DC">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病原体感染前的预防</w:t>
            </w:r>
          </w:p>
        </w:tc>
        <w:tc>
          <w:tcPr>
            <w:tcW w:w="2835" w:type="dxa"/>
            <w:noWrap w:val="0"/>
            <w:vAlign w:val="top"/>
          </w:tcPr>
          <w:p w14:paraId="71D255DF">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病原体感染后的治疗</w:t>
            </w:r>
          </w:p>
        </w:tc>
      </w:tr>
      <w:tr w14:paraId="4FD81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vAlign w:val="top"/>
          </w:tcPr>
          <w:p w14:paraId="28F36DD7">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注射</w:t>
            </w:r>
          </w:p>
        </w:tc>
        <w:tc>
          <w:tcPr>
            <w:tcW w:w="2268" w:type="dxa"/>
            <w:noWrap w:val="0"/>
            <w:vAlign w:val="top"/>
          </w:tcPr>
          <w:p w14:paraId="331673ED">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疫苗（经处理的抗原）</w:t>
            </w:r>
          </w:p>
        </w:tc>
        <w:tc>
          <w:tcPr>
            <w:tcW w:w="2835" w:type="dxa"/>
            <w:noWrap w:val="0"/>
            <w:vAlign w:val="top"/>
          </w:tcPr>
          <w:p w14:paraId="799B9E8B">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抗体、细胞因子、血清等</w:t>
            </w:r>
          </w:p>
        </w:tc>
      </w:tr>
      <w:tr w14:paraId="35524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noWrap w:val="0"/>
            <w:vAlign w:val="top"/>
          </w:tcPr>
          <w:p w14:paraId="02750B72">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目的</w:t>
            </w:r>
          </w:p>
        </w:tc>
        <w:tc>
          <w:tcPr>
            <w:tcW w:w="2268" w:type="dxa"/>
            <w:noWrap w:val="0"/>
            <w:vAlign w:val="top"/>
          </w:tcPr>
          <w:p w14:paraId="6BBFE1D0">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激发机体自身免疫反应，产生抗体和记忆</w:t>
            </w:r>
          </w:p>
        </w:tc>
        <w:tc>
          <w:tcPr>
            <w:tcW w:w="2835" w:type="dxa"/>
            <w:noWrap w:val="0"/>
            <w:vAlign w:val="top"/>
          </w:tcPr>
          <w:p w14:paraId="506F3DF3">
            <w:pPr>
              <w:keepNext w:val="0"/>
              <w:keepLines w:val="0"/>
              <w:pageBreakBefore w:val="0"/>
              <w:pBdr>
                <w:top w:val="none" w:color="auto" w:sz="0" w:space="0"/>
                <w:left w:val="none" w:color="auto" w:sz="0" w:space="0"/>
                <w:bottom w:val="none" w:color="auto" w:sz="0" w:space="0"/>
                <w:right w:val="none" w:color="auto" w:sz="0" w:space="0"/>
                <w:between w:val="none" w:color="auto" w:sz="0" w:space="0"/>
              </w:pBdr>
              <w:kinsoku/>
              <w:wordWrap/>
              <w:overflowPunct/>
              <w:topLinePunct w:val="0"/>
              <w:bidi w:val="0"/>
              <w:snapToGrid w:val="0"/>
              <w:spacing w:line="312" w:lineRule="auto"/>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直接注射免疫活性物质，增强人体抵御病细胞原体的能力</w:t>
            </w:r>
          </w:p>
        </w:tc>
      </w:tr>
    </w:tbl>
    <w:p w14:paraId="2CF0E982">
      <w:pPr>
        <w:numPr>
          <w:ilvl w:val="0"/>
          <w:numId w:val="1"/>
        </w:numPr>
        <w:ind w:left="0" w:leftChars="0" w:firstLine="0" w:firstLine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练习模块</w:t>
      </w:r>
    </w:p>
    <w:p w14:paraId="641101A2">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（一）单选题</w:t>
      </w:r>
    </w:p>
    <w:p w14:paraId="1DC321C3">
      <w:pPr>
        <w:pStyle w:val="2"/>
        <w:tabs>
          <w:tab w:val="left" w:pos="4140"/>
        </w:tabs>
        <w:snapToGrid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．如图表示人体注射某疫苗后，机体发生的部分免疫过程，下列相关叙述错误的是(　　)</w:t>
      </w:r>
    </w:p>
    <w:p w14:paraId="51F2DB4B">
      <w:pPr>
        <w:pStyle w:val="2"/>
        <w:tabs>
          <w:tab w:val="left" w:pos="4140"/>
        </w:tabs>
        <w:snapToGrid w:val="0"/>
        <w:spacing w:line="360" w:lineRule="auto"/>
        <w:ind w:firstLine="480" w:firstLineChars="20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drawing>
          <wp:inline distT="0" distB="0" distL="114300" distR="114300">
            <wp:extent cx="2346325" cy="985520"/>
            <wp:effectExtent l="0" t="0" r="15875" b="5080"/>
            <wp:docPr id="5" name="图片 4" descr="xb4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xb45.tif"/>
                    <pic:cNvPicPr>
                      <a:picLocks noChangeAspect="1"/>
                    </pic:cNvPicPr>
                  </pic:nvPicPr>
                  <pic:blipFill>
                    <a:blip r:embed="rId10"/>
                    <a:stretch>
                      <a:fillRect/>
                    </a:stretch>
                  </pic:blipFill>
                  <pic:spPr>
                    <a:xfrm>
                      <a:off x="0" y="0"/>
                      <a:ext cx="2346325" cy="985520"/>
                    </a:xfrm>
                    <a:prstGeom prst="rect">
                      <a:avLst/>
                    </a:prstGeom>
                    <a:noFill/>
                    <a:ln>
                      <a:noFill/>
                    </a:ln>
                  </pic:spPr>
                </pic:pic>
              </a:graphicData>
            </a:graphic>
          </wp:inline>
        </w:drawing>
      </w:r>
    </w:p>
    <w:p w14:paraId="6E392D7B">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A．细胞2细胞3均起源于造血干细胞，分别在胸腺、骨髓中发育成熟</w:t>
      </w:r>
    </w:p>
    <w:p w14:paraId="15B4D3FB">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B．仅细胞4中含有合成物质a的基因和mRNA，细胞2可以产生细胞因子</w:t>
      </w:r>
    </w:p>
    <w:p w14:paraId="07EC57EC">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C．②、③过程依赖细胞间的直接接触完成，与细胞膜上的蛋白质有关</w:t>
      </w:r>
    </w:p>
    <w:p w14:paraId="2F45F1AA">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D．在二次免疫过程中，细胞5能迅速增殖分化为细胞4，从而发挥重要作用</w:t>
      </w:r>
    </w:p>
    <w:p w14:paraId="4FF2D178">
      <w:pPr>
        <w:pStyle w:val="2"/>
        <w:tabs>
          <w:tab w:val="left" w:pos="4140"/>
        </w:tabs>
        <w:snapToGrid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嵌合抗原受体T细胞免疫疗法(CAR—T细胞疗法)被认为是极具前景的抗癌免疫疗法，该T细胞表面的嵌合抗原受体(简称CAR)能直接识别肿瘤细胞的特异性抗原。如图为一个典型的CAR—T细胞疗法的操作流程，下列叙述正确的是(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w:t>
      </w:r>
    </w:p>
    <w:p w14:paraId="596C9370">
      <w:pPr>
        <w:pStyle w:val="2"/>
        <w:tabs>
          <w:tab w:val="left" w:pos="4140"/>
        </w:tabs>
        <w:snapToGrid w:val="0"/>
        <w:spacing w:line="360" w:lineRule="auto"/>
        <w:ind w:firstLine="480" w:firstLineChars="20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drawing>
          <wp:inline distT="0" distB="0" distL="114300" distR="114300">
            <wp:extent cx="2589530" cy="1128395"/>
            <wp:effectExtent l="0" t="0" r="1270" b="14605"/>
            <wp:docPr id="4" name="图片 5" descr="XB4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XB46.tif"/>
                    <pic:cNvPicPr>
                      <a:picLocks noChangeAspect="1"/>
                    </pic:cNvPicPr>
                  </pic:nvPicPr>
                  <pic:blipFill>
                    <a:blip r:embed="rId11"/>
                    <a:stretch>
                      <a:fillRect/>
                    </a:stretch>
                  </pic:blipFill>
                  <pic:spPr>
                    <a:xfrm>
                      <a:off x="0" y="0"/>
                      <a:ext cx="2589530" cy="1128395"/>
                    </a:xfrm>
                    <a:prstGeom prst="rect">
                      <a:avLst/>
                    </a:prstGeom>
                    <a:noFill/>
                    <a:ln>
                      <a:noFill/>
                    </a:ln>
                  </pic:spPr>
                </pic:pic>
              </a:graphicData>
            </a:graphic>
          </wp:inline>
        </w:drawing>
      </w:r>
    </w:p>
    <w:p w14:paraId="6494C95A">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A．特异性免疫过程中，T细胞只参与细胞免疫</w:t>
      </w:r>
    </w:p>
    <w:p w14:paraId="71D5B36B">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B．CAR—T细胞可以通过CAR识别相关癌变细胞</w:t>
      </w:r>
    </w:p>
    <w:p w14:paraId="0D105C39">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C．CAR—T细胞疗法的基本原理是利用药物清除癌细胞</w:t>
      </w:r>
    </w:p>
    <w:p w14:paraId="0F18217A">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D．免疫系统清除体内癌变细胞的过程属于细胞坏死</w:t>
      </w:r>
    </w:p>
    <w:p w14:paraId="65E1D231">
      <w:pPr>
        <w:pStyle w:val="2"/>
        <w:tabs>
          <w:tab w:val="left" w:pos="4140"/>
        </w:tabs>
        <w:snapToGrid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．免疫应答的特殊性与记忆性包括：①对入侵病原体的抗原进行特异性识别；②细胞多次分裂以产生数量巨大的淋巴细胞群体；③淋巴细胞分化成成熟的细胞群。相关叙述不正确的是(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w:t>
      </w:r>
    </w:p>
    <w:p w14:paraId="34774037">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A．免疫细胞对抗原的特异性识别依靠细胞膜上的受体</w:t>
      </w:r>
    </w:p>
    <w:p w14:paraId="6FD601BF">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B．细胞毒性T细胞能增殖分化为细胞毒性T细胞和记忆T细胞</w:t>
      </w:r>
    </w:p>
    <w:p w14:paraId="278A02BF">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C．B淋巴细胞在两种信号的刺激下，在细胞因子的作用下，开始增殖分化</w:t>
      </w:r>
    </w:p>
    <w:p w14:paraId="4E21A8B5">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D．记忆B细胞再次遇到同种抗原刺激时快速产生大量抗体</w:t>
      </w:r>
    </w:p>
    <w:p w14:paraId="4E9428A7">
      <w:pPr>
        <w:pStyle w:val="2"/>
        <w:tabs>
          <w:tab w:val="left" w:pos="4140"/>
        </w:tabs>
        <w:snapToGrid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据报道，美国某大学的生物学家正在从事将病毒引诱到人体“陷阱细胞”中，以阻止病毒繁殖的研究。例如，HIV通过T细胞表面的CD4识别T细胞，如果给艾滋病患者注射大量用CD4分子修饰过的红细胞，则该红细胞也会被HIV识别、入侵。但HIV在红细胞中无法完成增殖，最后随红细胞的死亡而被清除，该方法目前已经在小鼠体内获得阶段性成果。下列分析正确的是(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w:t>
      </w:r>
    </w:p>
    <w:p w14:paraId="56D16FA5">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A．衰老的红细胞能成为抗原，由人体的免疫系统消除</w:t>
      </w:r>
    </w:p>
    <w:p w14:paraId="64E47127">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B．感染HIV的成熟红细胞被清除属于细胞坏死</w:t>
      </w:r>
    </w:p>
    <w:p w14:paraId="3D12A1CB">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C．红细胞可作为“陷阱细胞”与其结构无关</w:t>
      </w:r>
    </w:p>
    <w:p w14:paraId="4EA05630">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D．T细胞能增殖分化为浆细胞和记忆细胞</w:t>
      </w:r>
    </w:p>
    <w:p w14:paraId="3C9B4D5B">
      <w:pPr>
        <w:pStyle w:val="2"/>
        <w:tabs>
          <w:tab w:val="left" w:pos="4140"/>
        </w:tabs>
        <w:snapToGrid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．新型冠状病毒肺炎是由新型冠状病毒引起的。新型冠状病毒是一种具有囊膜的病毒，其表面的刺突蛋白能帮助病毒侵染人的呼吸道细胞。新型冠状病毒的基本结构如图所示，下列有关叙述不正确的是(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w:t>
      </w:r>
    </w:p>
    <w:p w14:paraId="70D0DEE3">
      <w:pPr>
        <w:pStyle w:val="2"/>
        <w:tabs>
          <w:tab w:val="left" w:pos="4140"/>
        </w:tabs>
        <w:snapToGrid w:val="0"/>
        <w:spacing w:line="360" w:lineRule="auto"/>
        <w:ind w:firstLine="480" w:firstLineChars="20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drawing>
          <wp:inline distT="0" distB="0" distL="114300" distR="114300">
            <wp:extent cx="1628140" cy="944880"/>
            <wp:effectExtent l="0" t="0" r="10160" b="7620"/>
            <wp:docPr id="8" name="图片 6" descr="WW2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descr="WW28.tif"/>
                    <pic:cNvPicPr>
                      <a:picLocks noChangeAspect="1"/>
                    </pic:cNvPicPr>
                  </pic:nvPicPr>
                  <pic:blipFill>
                    <a:blip r:embed="rId12"/>
                    <a:stretch>
                      <a:fillRect/>
                    </a:stretch>
                  </pic:blipFill>
                  <pic:spPr>
                    <a:xfrm>
                      <a:off x="0" y="0"/>
                      <a:ext cx="1628140" cy="944880"/>
                    </a:xfrm>
                    <a:prstGeom prst="rect">
                      <a:avLst/>
                    </a:prstGeom>
                    <a:noFill/>
                    <a:ln>
                      <a:noFill/>
                    </a:ln>
                  </pic:spPr>
                </pic:pic>
              </a:graphicData>
            </a:graphic>
          </wp:inline>
        </w:drawing>
      </w:r>
    </w:p>
    <w:p w14:paraId="2BA909E8">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A．新型冠状病毒侵入细胞后会与相应的抗体结合而失去感染能力</w:t>
      </w:r>
    </w:p>
    <w:p w14:paraId="2E3A9A03">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B．若将刺突蛋白提取出来并注射到健康人体内，可能会引起机体的免疫应答却不使机体患病</w:t>
      </w:r>
    </w:p>
    <w:p w14:paraId="67FBA059">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C．感染了新型冠状病毒的患者康复后短期内可能不会再受其感染，与体内产生的抗体和记忆细胞密切相关</w:t>
      </w:r>
    </w:p>
    <w:p w14:paraId="3ABB4C76">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D．皮肤和黏膜等构成了防止新型冠状病毒侵染人体的第一道防线</w:t>
      </w:r>
    </w:p>
    <w:p w14:paraId="1EE54E93">
      <w:pPr>
        <w:pStyle w:val="2"/>
        <w:tabs>
          <w:tab w:val="left" w:pos="4140"/>
        </w:tabs>
        <w:snapToGrid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rPr>
        <w:t>．隐球菌是一种酵母样单细胞真菌，当隐球菌孢子(一种生殖细胞)进入人体后，肺巨噬细胞会直接吞入病原体，但它们放弃了它们作为“清道夫保镖”的职责，充当起“特洛伊木马”的角色，把孢子运输到血液中。而且巨噬细胞不仅可以从肺中运输孢子，还为孢子提供庇护让其萌发，进一步感染其他组织器官，危及生命。根据以上信息结合所学知识判断，下列叙述正确的是(　</w:t>
      </w:r>
      <w:r>
        <w:rPr>
          <w:rFonts w:hint="eastAsia" w:hAnsi="宋体" w:cs="宋体"/>
          <w:b w:val="0"/>
          <w:bCs w:val="0"/>
          <w:sz w:val="24"/>
          <w:szCs w:val="24"/>
          <w:lang w:val="en-US" w:eastAsia="zh-CN"/>
        </w:rPr>
        <w:t xml:space="preserve"> </w:t>
      </w:r>
      <w:r>
        <w:rPr>
          <w:rFonts w:hint="eastAsia" w:ascii="宋体" w:hAnsi="宋体" w:eastAsia="宋体" w:cs="宋体"/>
          <w:b w:val="0"/>
          <w:bCs w:val="0"/>
          <w:sz w:val="24"/>
          <w:szCs w:val="24"/>
        </w:rPr>
        <w:t>　)</w:t>
      </w:r>
    </w:p>
    <w:p w14:paraId="56EBC497">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A．肺巨噬细胞“吞噬”隐球菌孢子属于非特异性免疫</w:t>
      </w:r>
    </w:p>
    <w:p w14:paraId="1D8E7091">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B．巨噬细胞没有发挥应有作用反而帮助病原体使人致病，这属于免疫缺陷病</w:t>
      </w:r>
    </w:p>
    <w:p w14:paraId="2AE13A66">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C．因隐球菌感染造成的肺炎患者，可选用青霉素等抗生素治疗</w:t>
      </w:r>
    </w:p>
    <w:p w14:paraId="0623F4DB">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D．揭示隐球菌孢子从肺部转移到其他组织的机制，是防治相关疾病的研究方向</w:t>
      </w:r>
    </w:p>
    <w:p w14:paraId="5E5D6860">
      <w:pPr>
        <w:pStyle w:val="2"/>
        <w:tabs>
          <w:tab w:val="left" w:pos="4140"/>
        </w:tabs>
        <w:snapToGrid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7</w:t>
      </w:r>
      <w:r>
        <w:rPr>
          <w:rFonts w:hint="eastAsia" w:ascii="宋体" w:hAnsi="宋体" w:eastAsia="宋体" w:cs="宋体"/>
          <w:b w:val="0"/>
          <w:bCs w:val="0"/>
          <w:sz w:val="24"/>
          <w:szCs w:val="24"/>
        </w:rPr>
        <w:t>．为研究复方黄芪制剂对小鼠免疫机能的影响，某研究人员用脾淋巴细胞(包括B细胞和T细胞)作实验材料，进行了相关实验，结果如图所示，下列叙述正确的是(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w:t>
      </w:r>
    </w:p>
    <w:p w14:paraId="0AD82E54">
      <w:pPr>
        <w:pStyle w:val="2"/>
        <w:tabs>
          <w:tab w:val="left" w:pos="4140"/>
        </w:tabs>
        <w:snapToGrid w:val="0"/>
        <w:spacing w:line="360" w:lineRule="auto"/>
        <w:ind w:firstLine="480" w:firstLineChars="20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drawing>
          <wp:inline distT="0" distB="0" distL="114300" distR="114300">
            <wp:extent cx="2054225" cy="1065530"/>
            <wp:effectExtent l="0" t="0" r="3175" b="1270"/>
            <wp:docPr id="7" name="图片 7" descr="WW2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29.tif"/>
                    <pic:cNvPicPr>
                      <a:picLocks noChangeAspect="1"/>
                    </pic:cNvPicPr>
                  </pic:nvPicPr>
                  <pic:blipFill>
                    <a:blip r:embed="rId13"/>
                    <a:stretch>
                      <a:fillRect/>
                    </a:stretch>
                  </pic:blipFill>
                  <pic:spPr>
                    <a:xfrm>
                      <a:off x="0" y="0"/>
                      <a:ext cx="2054225" cy="1065530"/>
                    </a:xfrm>
                    <a:prstGeom prst="rect">
                      <a:avLst/>
                    </a:prstGeom>
                    <a:noFill/>
                    <a:ln>
                      <a:noFill/>
                    </a:ln>
                  </pic:spPr>
                </pic:pic>
              </a:graphicData>
            </a:graphic>
          </wp:inline>
        </w:drawing>
      </w:r>
    </w:p>
    <w:p w14:paraId="5952D171">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A．选用脾作实验材料的原因是脾是B细胞和T细胞的发育场所</w:t>
      </w:r>
    </w:p>
    <w:p w14:paraId="46A8073B">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B．检测淋巴细胞增殖活性前不需要给健康小鼠适量抗原刺激</w:t>
      </w:r>
    </w:p>
    <w:p w14:paraId="1DA4877F">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C．该实验研究的是复方黄芪制剂的给药时间和剂量对小鼠特异性免疫的影响</w:t>
      </w:r>
    </w:p>
    <w:p w14:paraId="4135FB9F">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D．饲料中复方黄芪制剂的剂量越高，越能提高淋巴细胞增殖活性</w:t>
      </w:r>
    </w:p>
    <w:p w14:paraId="3775FBDB">
      <w:pPr>
        <w:pStyle w:val="2"/>
        <w:tabs>
          <w:tab w:val="left" w:pos="4140"/>
        </w:tabs>
        <w:snapToGrid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8</w:t>
      </w:r>
      <w:r>
        <w:rPr>
          <w:rFonts w:hint="eastAsia" w:ascii="宋体" w:hAnsi="宋体" w:eastAsia="宋体" w:cs="宋体"/>
          <w:b w:val="0"/>
          <w:bCs w:val="0"/>
          <w:sz w:val="24"/>
          <w:szCs w:val="24"/>
        </w:rPr>
        <w:t>．为了研究受抗原刺激的T细胞对B细胞的影响。研究人员将来自同一个体的B细胞等分为三组，实验操作和结果如下(“＋”表示加入该细胞，“－”表示未加入该细胞)。下列分析错误的是(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w:t>
      </w:r>
    </w:p>
    <w:tbl>
      <w:tblPr>
        <w:tblStyle w:val="5"/>
        <w:tblW w:w="7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0"/>
        <w:gridCol w:w="1081"/>
        <w:gridCol w:w="846"/>
        <w:gridCol w:w="2222"/>
      </w:tblGrid>
      <w:tr w14:paraId="5A15D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3090" w:type="dxa"/>
            <w:noWrap w:val="0"/>
            <w:vAlign w:val="center"/>
          </w:tcPr>
          <w:p w14:paraId="7BA44622">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项目</w:t>
            </w:r>
          </w:p>
        </w:tc>
        <w:tc>
          <w:tcPr>
            <w:tcW w:w="1081" w:type="dxa"/>
            <w:noWrap w:val="0"/>
            <w:vAlign w:val="center"/>
          </w:tcPr>
          <w:p w14:paraId="57C372B7">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甲</w:t>
            </w:r>
          </w:p>
        </w:tc>
        <w:tc>
          <w:tcPr>
            <w:tcW w:w="846" w:type="dxa"/>
            <w:noWrap w:val="0"/>
            <w:vAlign w:val="center"/>
          </w:tcPr>
          <w:p w14:paraId="282864BB">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乙</w:t>
            </w:r>
          </w:p>
        </w:tc>
        <w:tc>
          <w:tcPr>
            <w:tcW w:w="2222" w:type="dxa"/>
            <w:noWrap w:val="0"/>
            <w:vAlign w:val="center"/>
          </w:tcPr>
          <w:p w14:paraId="0B8F1379">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丙</w:t>
            </w:r>
          </w:p>
        </w:tc>
      </w:tr>
      <w:tr w14:paraId="167D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3090" w:type="dxa"/>
            <w:noWrap w:val="0"/>
            <w:vAlign w:val="center"/>
          </w:tcPr>
          <w:p w14:paraId="29D8DDD0">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B细胞</w:t>
            </w:r>
          </w:p>
        </w:tc>
        <w:tc>
          <w:tcPr>
            <w:tcW w:w="1081" w:type="dxa"/>
            <w:noWrap w:val="0"/>
            <w:vAlign w:val="center"/>
          </w:tcPr>
          <w:p w14:paraId="1915EFF8">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w:t>
            </w:r>
          </w:p>
        </w:tc>
        <w:tc>
          <w:tcPr>
            <w:tcW w:w="846" w:type="dxa"/>
            <w:noWrap w:val="0"/>
            <w:vAlign w:val="center"/>
          </w:tcPr>
          <w:p w14:paraId="36018345">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w:t>
            </w:r>
          </w:p>
        </w:tc>
        <w:tc>
          <w:tcPr>
            <w:tcW w:w="2222" w:type="dxa"/>
            <w:noWrap w:val="0"/>
            <w:vAlign w:val="center"/>
          </w:tcPr>
          <w:p w14:paraId="140E5593">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w:t>
            </w:r>
          </w:p>
        </w:tc>
      </w:tr>
      <w:tr w14:paraId="06754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090" w:type="dxa"/>
            <w:noWrap w:val="0"/>
            <w:vAlign w:val="center"/>
          </w:tcPr>
          <w:p w14:paraId="1A75852A">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未受抗原刺激的T细胞</w:t>
            </w:r>
          </w:p>
        </w:tc>
        <w:tc>
          <w:tcPr>
            <w:tcW w:w="1081" w:type="dxa"/>
            <w:noWrap w:val="0"/>
            <w:vAlign w:val="center"/>
          </w:tcPr>
          <w:p w14:paraId="2BEB8B45">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w:t>
            </w:r>
          </w:p>
        </w:tc>
        <w:tc>
          <w:tcPr>
            <w:tcW w:w="846" w:type="dxa"/>
            <w:noWrap w:val="0"/>
            <w:vAlign w:val="center"/>
          </w:tcPr>
          <w:p w14:paraId="0BF230FF">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w:t>
            </w:r>
          </w:p>
        </w:tc>
        <w:tc>
          <w:tcPr>
            <w:tcW w:w="2222" w:type="dxa"/>
            <w:noWrap w:val="0"/>
            <w:vAlign w:val="center"/>
          </w:tcPr>
          <w:p w14:paraId="3A0A0D6A">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w:t>
            </w:r>
          </w:p>
        </w:tc>
      </w:tr>
      <w:tr w14:paraId="41D2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3090" w:type="dxa"/>
            <w:noWrap w:val="0"/>
            <w:vAlign w:val="center"/>
          </w:tcPr>
          <w:p w14:paraId="367FB136">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受抗原刺激的T细胞</w:t>
            </w:r>
          </w:p>
        </w:tc>
        <w:tc>
          <w:tcPr>
            <w:tcW w:w="1081" w:type="dxa"/>
            <w:noWrap w:val="0"/>
            <w:vAlign w:val="center"/>
          </w:tcPr>
          <w:p w14:paraId="320AC99F">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w:t>
            </w:r>
          </w:p>
        </w:tc>
        <w:tc>
          <w:tcPr>
            <w:tcW w:w="846" w:type="dxa"/>
            <w:noWrap w:val="0"/>
            <w:vAlign w:val="center"/>
          </w:tcPr>
          <w:p w14:paraId="6E31B515">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w:t>
            </w:r>
          </w:p>
        </w:tc>
        <w:tc>
          <w:tcPr>
            <w:tcW w:w="2222" w:type="dxa"/>
            <w:noWrap w:val="0"/>
            <w:vAlign w:val="center"/>
          </w:tcPr>
          <w:p w14:paraId="67140A18">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w:t>
            </w:r>
          </w:p>
        </w:tc>
      </w:tr>
    </w:tbl>
    <w:p w14:paraId="1156702D">
      <w:pPr>
        <w:pStyle w:val="2"/>
        <w:tabs>
          <w:tab w:val="left" w:pos="4140"/>
        </w:tabs>
        <w:snapToGrid w:val="0"/>
        <w:spacing w:line="360" w:lineRule="auto"/>
        <w:ind w:firstLine="480" w:firstLineChars="200"/>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drawing>
          <wp:anchor distT="0" distB="0" distL="114300" distR="114300" simplePos="0" relativeHeight="251660288" behindDoc="0" locked="0" layoutInCell="1" allowOverlap="1">
            <wp:simplePos x="0" y="0"/>
            <wp:positionH relativeFrom="column">
              <wp:posOffset>195580</wp:posOffset>
            </wp:positionH>
            <wp:positionV relativeFrom="paragraph">
              <wp:posOffset>74930</wp:posOffset>
            </wp:positionV>
            <wp:extent cx="2174875" cy="1016635"/>
            <wp:effectExtent l="0" t="0" r="15875" b="12065"/>
            <wp:wrapSquare wrapText="bothSides"/>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4"/>
                    <a:stretch>
                      <a:fillRect/>
                    </a:stretch>
                  </pic:blipFill>
                  <pic:spPr>
                    <a:xfrm>
                      <a:off x="0" y="0"/>
                      <a:ext cx="2174875" cy="1016635"/>
                    </a:xfrm>
                    <a:prstGeom prst="rect">
                      <a:avLst/>
                    </a:prstGeom>
                    <a:noFill/>
                    <a:ln>
                      <a:noFill/>
                    </a:ln>
                  </pic:spPr>
                </pic:pic>
              </a:graphicData>
            </a:graphic>
          </wp:anchor>
        </w:drawing>
      </w:r>
    </w:p>
    <w:p w14:paraId="5C9BE68C">
      <w:pPr>
        <w:pStyle w:val="2"/>
        <w:tabs>
          <w:tab w:val="left" w:pos="4140"/>
        </w:tabs>
        <w:snapToGrid w:val="0"/>
        <w:spacing w:line="360" w:lineRule="auto"/>
        <w:ind w:firstLine="480" w:firstLineChars="200"/>
        <w:jc w:val="center"/>
        <w:rPr>
          <w:rFonts w:hint="eastAsia" w:ascii="宋体" w:hAnsi="宋体" w:eastAsia="宋体" w:cs="宋体"/>
          <w:b w:val="0"/>
          <w:bCs w:val="0"/>
          <w:sz w:val="24"/>
          <w:szCs w:val="24"/>
        </w:rPr>
      </w:pPr>
    </w:p>
    <w:p w14:paraId="04561387">
      <w:pPr>
        <w:pStyle w:val="2"/>
        <w:tabs>
          <w:tab w:val="left" w:pos="4140"/>
        </w:tabs>
        <w:snapToGrid w:val="0"/>
        <w:spacing w:line="360" w:lineRule="auto"/>
        <w:ind w:firstLine="480" w:firstLineChars="200"/>
        <w:jc w:val="center"/>
        <w:rPr>
          <w:rFonts w:hint="eastAsia" w:ascii="宋体" w:hAnsi="宋体" w:eastAsia="宋体" w:cs="宋体"/>
          <w:b w:val="0"/>
          <w:bCs w:val="0"/>
          <w:sz w:val="24"/>
          <w:szCs w:val="24"/>
        </w:rPr>
      </w:pPr>
    </w:p>
    <w:p w14:paraId="0C7C81CC">
      <w:pPr>
        <w:pStyle w:val="2"/>
        <w:tabs>
          <w:tab w:val="left" w:pos="4140"/>
        </w:tabs>
        <w:snapToGrid w:val="0"/>
        <w:spacing w:line="360" w:lineRule="auto"/>
        <w:rPr>
          <w:rFonts w:hint="eastAsia" w:ascii="宋体" w:hAnsi="宋体" w:eastAsia="宋体" w:cs="宋体"/>
          <w:b w:val="0"/>
          <w:bCs w:val="0"/>
          <w:sz w:val="24"/>
          <w:szCs w:val="24"/>
        </w:rPr>
      </w:pPr>
    </w:p>
    <w:p w14:paraId="276CDFFE">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A．乙组为实验组，甲组和丙组为对照组</w:t>
      </w:r>
    </w:p>
    <w:p w14:paraId="5DB51B7A">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B．甲、丙两组没有检测到抗体的原因不同 </w:t>
      </w:r>
    </w:p>
    <w:p w14:paraId="15AA96FA">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C．乙组培养液中可能产生了记忆细胞 </w:t>
      </w:r>
    </w:p>
    <w:p w14:paraId="543E5F6A">
      <w:pPr>
        <w:pStyle w:val="2"/>
        <w:tabs>
          <w:tab w:val="left" w:pos="4140"/>
        </w:tabs>
        <w:snapToGrid w:val="0"/>
        <w:spacing w:line="360" w:lineRule="auto"/>
        <w:ind w:firstLine="240" w:firstLineChars="100"/>
        <w:rPr>
          <w:rFonts w:hint="eastAsia" w:ascii="宋体" w:hAnsi="宋体" w:eastAsia="宋体" w:cs="宋体"/>
          <w:b w:val="0"/>
          <w:bCs w:val="0"/>
          <w:sz w:val="24"/>
          <w:szCs w:val="24"/>
        </w:rPr>
      </w:pPr>
      <w:r>
        <w:rPr>
          <w:rFonts w:hint="eastAsia" w:ascii="宋体" w:hAnsi="宋体" w:eastAsia="宋体" w:cs="宋体"/>
          <w:b w:val="0"/>
          <w:bCs w:val="0"/>
          <w:sz w:val="24"/>
          <w:szCs w:val="24"/>
        </w:rPr>
        <w:t>D．受抗原刺激的T细胞能刺激B细胞增殖分化成浆细胞</w:t>
      </w:r>
    </w:p>
    <w:p w14:paraId="4419FD48">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（二）多选题</w:t>
      </w:r>
    </w:p>
    <w:p w14:paraId="1DE325B5">
      <w:pPr>
        <w:shd w:val="clear" w:color="auto" w:fill="auto"/>
        <w:spacing w:line="360" w:lineRule="auto"/>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9</w:t>
      </w:r>
      <w:r>
        <w:rPr>
          <w:rFonts w:hint="eastAsia" w:ascii="宋体" w:hAnsi="宋体" w:eastAsia="宋体" w:cs="宋体"/>
          <w:b w:val="0"/>
          <w:bCs w:val="0"/>
          <w:sz w:val="24"/>
          <w:szCs w:val="24"/>
        </w:rPr>
        <w:t>．人类基因D编码红细胞表面的RhD蛋白，其等位基因d不编码蛋白质。基因型为DD或Dd被称为Rh阳性（Rh+），基因型为dd被称为Rh阴性（Rh-）。人的血清中不存在抗RhD的天然抗体，只有当Rh-的人接受Rh+人的血液后，才会通过免疫反应产生该抗体。RhD抗体可以透过胎盘。当Rh-的母亲怀有Rh+的胎儿时，胎儿的少量红细胞或RhD蛋白可以在妊娠末期或分娩时进入母体，使母体产生抗体。如果此抗体进入胎儿的循环系统，会使胎儿的红细胞发生溶血，造成新生儿溶血，严重时可导致死亡。下列分析正确的是（</w:t>
      </w:r>
      <w:r>
        <w:rPr>
          <w:rFonts w:hint="eastAsia" w:ascii="宋体" w:hAnsi="宋体" w:eastAsia="宋体" w:cs="宋体"/>
          <w:b w:val="0"/>
          <w:bCs w:val="0"/>
          <w:kern w:val="0"/>
          <w:sz w:val="24"/>
          <w:szCs w:val="24"/>
        </w:rPr>
        <w:t>  </w:t>
      </w:r>
      <w:r>
        <w:rPr>
          <w:rFonts w:hint="eastAsia" w:ascii="宋体" w:hAnsi="宋体" w:eastAsia="宋体" w:cs="宋体"/>
          <w:b w:val="0"/>
          <w:bCs w:val="0"/>
          <w:kern w:val="0"/>
          <w:sz w:val="24"/>
          <w:szCs w:val="24"/>
          <w:lang w:val="en-US" w:eastAsia="zh-CN"/>
        </w:rPr>
        <w:t xml:space="preserve"> </w:t>
      </w:r>
      <w:r>
        <w:rPr>
          <w:rFonts w:hint="eastAsia" w:ascii="宋体" w:hAnsi="宋体" w:eastAsia="宋体" w:cs="宋体"/>
          <w:b w:val="0"/>
          <w:bCs w:val="0"/>
          <w:kern w:val="0"/>
          <w:sz w:val="24"/>
          <w:szCs w:val="24"/>
        </w:rPr>
        <w:t> </w:t>
      </w:r>
      <w:r>
        <w:rPr>
          <w:rFonts w:hint="eastAsia" w:ascii="宋体" w:hAnsi="宋体" w:eastAsia="宋体" w:cs="宋体"/>
          <w:b w:val="0"/>
          <w:bCs w:val="0"/>
          <w:sz w:val="24"/>
          <w:szCs w:val="24"/>
        </w:rPr>
        <w:t>）</w:t>
      </w:r>
    </w:p>
    <w:p w14:paraId="1380BD67">
      <w:pPr>
        <w:shd w:val="clear" w:color="auto" w:fill="auto"/>
        <w:spacing w:line="360" w:lineRule="auto"/>
        <w:ind w:firstLine="240" w:firstLineChars="100"/>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rPr>
        <w:t>A．若母亲产生RhD抗体使胎儿发生红细胞溶血，推测胎儿的基因型是Dd</w:t>
      </w:r>
    </w:p>
    <w:p w14:paraId="01F953F3">
      <w:pPr>
        <w:shd w:val="clear" w:color="auto" w:fill="auto"/>
        <w:spacing w:line="360" w:lineRule="auto"/>
        <w:ind w:firstLine="240" w:firstLineChars="100"/>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rPr>
        <w:t>B．新生儿溶血通常发生在二胎，这与二次免疫产生的RhD抗体水平高有关</w:t>
      </w:r>
    </w:p>
    <w:p w14:paraId="10706F03">
      <w:pPr>
        <w:shd w:val="clear" w:color="auto" w:fill="auto"/>
        <w:spacing w:line="360" w:lineRule="auto"/>
        <w:ind w:firstLine="240" w:firstLineChars="100"/>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rPr>
        <w:t>C．在RhD抗体的产生过程中，B细胞仅需要接受辅助性T细胞的信号即可启动分裂、分化</w:t>
      </w:r>
    </w:p>
    <w:p w14:paraId="6BDCCAD9">
      <w:pPr>
        <w:shd w:val="clear" w:color="auto" w:fill="auto"/>
        <w:spacing w:line="360" w:lineRule="auto"/>
        <w:ind w:firstLine="240" w:firstLineChars="100"/>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rPr>
        <w:t>D．为防止二胎发生新生儿溶血，可在一胎分娩后及时持续给母亲注射适量RhD抗体</w:t>
      </w:r>
    </w:p>
    <w:p w14:paraId="169E515C">
      <w:pPr>
        <w:shd w:val="clear" w:color="auto" w:fill="auto"/>
        <w:spacing w:line="360" w:lineRule="auto"/>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10</w:t>
      </w:r>
      <w:r>
        <w:rPr>
          <w:rFonts w:hint="eastAsia" w:ascii="宋体" w:hAnsi="宋体" w:eastAsia="宋体" w:cs="宋体"/>
          <w:b w:val="0"/>
          <w:bCs w:val="0"/>
          <w:sz w:val="24"/>
          <w:szCs w:val="24"/>
        </w:rPr>
        <w:t>．如图为人体某些细胞信息传递机制的模式图，箭头表示信息的传递方向。下列叙述正确的是（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w:t>
      </w:r>
    </w:p>
    <w:p w14:paraId="0F8217A5">
      <w:pPr>
        <w:shd w:val="clear" w:color="auto" w:fill="auto"/>
        <w:spacing w:line="360" w:lineRule="auto"/>
        <w:jc w:val="left"/>
        <w:textAlignment w:val="center"/>
        <w:rPr>
          <w:rFonts w:hint="eastAsia" w:ascii="宋体" w:hAnsi="宋体" w:eastAsia="宋体" w:cs="宋体"/>
          <w:b w:val="0"/>
          <w:bCs w:val="0"/>
          <w:sz w:val="24"/>
          <w:szCs w:val="24"/>
        </w:rPr>
      </w:pPr>
      <w:r>
        <w:rPr>
          <w:rFonts w:hint="eastAsia" w:ascii="宋体" w:hAnsi="宋体" w:eastAsia="宋体" w:cs="宋体"/>
          <w:b w:val="0"/>
          <w:bCs w:val="0"/>
          <w:strike w:val="0"/>
          <w:kern w:val="0"/>
          <w:sz w:val="24"/>
          <w:szCs w:val="24"/>
          <w:u w:val="none"/>
        </w:rPr>
        <w:drawing>
          <wp:inline distT="0" distB="0" distL="114300" distR="114300">
            <wp:extent cx="2199640" cy="741045"/>
            <wp:effectExtent l="0" t="0" r="10160" b="1905"/>
            <wp:docPr id="100009" name="图片 100009" descr="@@@134b0ece2dfc4cfc95ca769487877e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134b0ece2dfc4cfc95ca769487877eac"/>
                    <pic:cNvPicPr>
                      <a:picLocks noChangeAspect="1"/>
                    </pic:cNvPicPr>
                  </pic:nvPicPr>
                  <pic:blipFill>
                    <a:blip r:embed="rId15"/>
                    <a:stretch>
                      <a:fillRect/>
                    </a:stretch>
                  </pic:blipFill>
                  <pic:spPr>
                    <a:xfrm>
                      <a:off x="0" y="0"/>
                      <a:ext cx="2199640" cy="741045"/>
                    </a:xfrm>
                    <a:prstGeom prst="rect">
                      <a:avLst/>
                    </a:prstGeom>
                  </pic:spPr>
                </pic:pic>
              </a:graphicData>
            </a:graphic>
          </wp:inline>
        </w:drawing>
      </w:r>
    </w:p>
    <w:p w14:paraId="21160103">
      <w:pPr>
        <w:shd w:val="clear" w:color="auto" w:fill="auto"/>
        <w:spacing w:line="360" w:lineRule="auto"/>
        <w:ind w:left="300"/>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rPr>
        <w:t>A．若a代表神经系统，b代表内分泌系统，则反射的应答是激素的释放</w:t>
      </w:r>
    </w:p>
    <w:p w14:paraId="31F064EF">
      <w:pPr>
        <w:shd w:val="clear" w:color="auto" w:fill="auto"/>
        <w:spacing w:line="360" w:lineRule="auto"/>
        <w:ind w:left="300"/>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rPr>
        <w:t>B．若该模式图表示反射弧结构，则c代表效应器，即肌肉或腺体</w:t>
      </w:r>
    </w:p>
    <w:p w14:paraId="78524E3F">
      <w:pPr>
        <w:shd w:val="clear" w:color="auto" w:fill="auto"/>
        <w:spacing w:line="360" w:lineRule="auto"/>
        <w:ind w:left="300"/>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rPr>
        <w:t>C．若该模式图表示激素的分级调节过程，c可以是甲状腺、性腺和肾上腺皮质</w:t>
      </w:r>
    </w:p>
    <w:p w14:paraId="34B017D6">
      <w:pPr>
        <w:shd w:val="clear" w:color="auto" w:fill="auto"/>
        <w:spacing w:line="360" w:lineRule="auto"/>
        <w:ind w:left="300"/>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rPr>
        <w:t>D．若a代表抗原呈递细胞，b表示辅助性T细胞，c可以是B淋巴细胞或细胞毒性T细胞</w:t>
      </w:r>
    </w:p>
    <w:p w14:paraId="2C6425E7">
      <w:pPr>
        <w:shd w:val="clear" w:color="auto" w:fill="auto"/>
        <w:spacing w:line="360" w:lineRule="auto"/>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11</w:t>
      </w:r>
      <w:r>
        <w:rPr>
          <w:rFonts w:hint="eastAsia" w:ascii="宋体" w:hAnsi="宋体" w:eastAsia="宋体" w:cs="宋体"/>
          <w:b w:val="0"/>
          <w:bCs w:val="0"/>
          <w:sz w:val="24"/>
          <w:szCs w:val="24"/>
        </w:rPr>
        <w:t>．下图为人类免疫缺陷病毒（HIV）侵入人体后病毒浓度和辅助性 T 细胞数量变化曲线。下列对该图的分析，不正确的是（</w:t>
      </w:r>
      <w:r>
        <w:rPr>
          <w:rFonts w:hint="eastAsia" w:ascii="宋体" w:hAnsi="宋体" w:eastAsia="宋体" w:cs="宋体"/>
          <w:b w:val="0"/>
          <w:bCs w:val="0"/>
          <w:kern w:val="0"/>
          <w:sz w:val="24"/>
          <w:szCs w:val="24"/>
        </w:rPr>
        <w:t> </w:t>
      </w:r>
      <w:r>
        <w:rPr>
          <w:rFonts w:hint="eastAsia" w:ascii="宋体" w:hAnsi="宋体" w:eastAsia="宋体" w:cs="宋体"/>
          <w:b w:val="0"/>
          <w:bCs w:val="0"/>
          <w:kern w:val="0"/>
          <w:sz w:val="24"/>
          <w:szCs w:val="24"/>
          <w:lang w:val="en-US" w:eastAsia="zh-CN"/>
        </w:rPr>
        <w:t xml:space="preserve">   </w:t>
      </w:r>
      <w:r>
        <w:rPr>
          <w:rFonts w:hint="eastAsia" w:ascii="宋体" w:hAnsi="宋体" w:eastAsia="宋体" w:cs="宋体"/>
          <w:b w:val="0"/>
          <w:bCs w:val="0"/>
          <w:kern w:val="0"/>
          <w:sz w:val="24"/>
          <w:szCs w:val="24"/>
        </w:rPr>
        <w:t>   </w:t>
      </w:r>
      <w:r>
        <w:rPr>
          <w:rFonts w:hint="eastAsia" w:ascii="宋体" w:hAnsi="宋体" w:eastAsia="宋体" w:cs="宋体"/>
          <w:b w:val="0"/>
          <w:bCs w:val="0"/>
          <w:sz w:val="24"/>
          <w:szCs w:val="24"/>
        </w:rPr>
        <w:t>）</w:t>
      </w:r>
    </w:p>
    <w:p w14:paraId="307BC407">
      <w:pPr>
        <w:shd w:val="clear" w:color="auto" w:fill="auto"/>
        <w:spacing w:line="360" w:lineRule="auto"/>
        <w:jc w:val="both"/>
        <w:textAlignment w:val="center"/>
        <w:rPr>
          <w:rFonts w:hint="eastAsia" w:ascii="宋体" w:hAnsi="宋体" w:eastAsia="宋体" w:cs="宋体"/>
          <w:b w:val="0"/>
          <w:bCs w:val="0"/>
          <w:sz w:val="24"/>
          <w:szCs w:val="24"/>
        </w:rPr>
      </w:pPr>
      <w:r>
        <w:rPr>
          <w:rFonts w:hint="eastAsia" w:ascii="宋体" w:hAnsi="宋体" w:eastAsia="宋体" w:cs="宋体"/>
          <w:b w:val="0"/>
          <w:bCs w:val="0"/>
          <w:strike w:val="0"/>
          <w:kern w:val="0"/>
          <w:sz w:val="24"/>
          <w:szCs w:val="24"/>
          <w:u w:val="none"/>
        </w:rPr>
        <w:drawing>
          <wp:inline distT="0" distB="0" distL="114300" distR="114300">
            <wp:extent cx="2288540" cy="1378585"/>
            <wp:effectExtent l="0" t="0" r="16510" b="12065"/>
            <wp:docPr id="100011" name="图片 100011" descr="@@@3237acee5afc4c2f96ab90e03a9c5f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3237acee5afc4c2f96ab90e03a9c5f13"/>
                    <pic:cNvPicPr>
                      <a:picLocks noChangeAspect="1"/>
                    </pic:cNvPicPr>
                  </pic:nvPicPr>
                  <pic:blipFill>
                    <a:blip r:embed="rId16"/>
                    <a:stretch>
                      <a:fillRect/>
                    </a:stretch>
                  </pic:blipFill>
                  <pic:spPr>
                    <a:xfrm>
                      <a:off x="0" y="0"/>
                      <a:ext cx="2288540" cy="1378585"/>
                    </a:xfrm>
                    <a:prstGeom prst="rect">
                      <a:avLst/>
                    </a:prstGeom>
                  </pic:spPr>
                </pic:pic>
              </a:graphicData>
            </a:graphic>
          </wp:inline>
        </w:drawing>
      </w:r>
    </w:p>
    <w:p w14:paraId="6835CA8C">
      <w:pPr>
        <w:shd w:val="clear" w:color="auto" w:fill="auto"/>
        <w:spacing w:line="360" w:lineRule="auto"/>
        <w:ind w:left="300"/>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rPr>
        <w:t>A．曲线 AB 段 HIV 浓度的变化主要是HIV 大量入侵而引起的</w:t>
      </w:r>
    </w:p>
    <w:p w14:paraId="2C3B8CFA">
      <w:pPr>
        <w:shd w:val="clear" w:color="auto" w:fill="auto"/>
        <w:spacing w:line="360" w:lineRule="auto"/>
        <w:ind w:left="300"/>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rPr>
        <w:t>B．曲线 BC 段 HIV 浓度下降主要是体液免疫和细胞免疫共同作用的结果</w:t>
      </w:r>
    </w:p>
    <w:p w14:paraId="0326B664">
      <w:pPr>
        <w:shd w:val="clear" w:color="auto" w:fill="auto"/>
        <w:spacing w:line="360" w:lineRule="auto"/>
        <w:ind w:left="300"/>
        <w:jc w:val="left"/>
        <w:textAlignment w:val="center"/>
        <w:rPr>
          <w:rFonts w:hint="eastAsia" w:ascii="宋体" w:hAnsi="宋体" w:eastAsia="宋体" w:cs="宋体"/>
          <w:b w:val="0"/>
          <w:bCs w:val="0"/>
          <w:sz w:val="24"/>
          <w:szCs w:val="24"/>
        </w:rPr>
      </w:pPr>
      <w:r>
        <w:rPr>
          <w:rFonts w:hint="eastAsia" w:ascii="宋体" w:hAnsi="宋体" w:eastAsia="宋体" w:cs="宋体"/>
          <w:b w:val="0"/>
          <w:bCs w:val="0"/>
          <w:sz w:val="24"/>
          <w:szCs w:val="24"/>
        </w:rPr>
        <w:t>C．曲线 EF 段辅助性 T细胞数量上升是造血干细胞在骨髓中快速分化、发育、成熟的结果</w:t>
      </w:r>
    </w:p>
    <w:p w14:paraId="487C6AB9">
      <w:pPr>
        <w:shd w:val="clear" w:color="auto" w:fill="auto"/>
        <w:spacing w:line="360" w:lineRule="auto"/>
        <w:ind w:left="300"/>
        <w:jc w:val="left"/>
        <w:textAlignment w:val="center"/>
        <w:rPr>
          <w:rFonts w:hint="eastAsia" w:ascii="宋体" w:hAnsi="宋体" w:eastAsia="宋体" w:cs="宋体"/>
          <w:b w:val="0"/>
          <w:bCs w:val="0"/>
          <w:sz w:val="24"/>
          <w:szCs w:val="24"/>
        </w:rPr>
        <w:sectPr>
          <w:footerReference r:id="rId6" w:type="default"/>
          <w:pgSz w:w="11907" w:h="16839"/>
          <w:pgMar w:top="1440" w:right="1800" w:bottom="1440" w:left="1800" w:header="851" w:footer="425" w:gutter="0"/>
          <w:pgNumType w:fmt="decimal" w:start="2"/>
          <w:cols w:space="425" w:num="1" w:sep="1"/>
          <w:docGrid w:type="lines" w:linePitch="312" w:charSpace="0"/>
        </w:sectPr>
      </w:pPr>
      <w:r>
        <w:rPr>
          <w:rFonts w:hint="eastAsia" w:ascii="宋体" w:hAnsi="宋体" w:eastAsia="宋体" w:cs="宋体"/>
          <w:b w:val="0"/>
          <w:bCs w:val="0"/>
          <w:sz w:val="24"/>
          <w:szCs w:val="24"/>
        </w:rPr>
        <w:t>D．艾滋病患者更容易患癌症，是HIV病毒引起</w:t>
      </w:r>
      <w:bookmarkStart w:id="0" w:name="_GoBack"/>
      <w:bookmarkEnd w:id="0"/>
      <w:r>
        <w:rPr>
          <w:rFonts w:hint="eastAsia" w:ascii="宋体" w:hAnsi="宋体" w:eastAsia="宋体" w:cs="宋体"/>
          <w:b w:val="0"/>
          <w:bCs w:val="0"/>
          <w:sz w:val="24"/>
          <w:szCs w:val="24"/>
        </w:rPr>
        <w:t>基因突变而导致</w:t>
      </w:r>
    </w:p>
    <w:p w14:paraId="045C515B">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（三）非选择题</w:t>
      </w:r>
    </w:p>
    <w:p w14:paraId="41426D53">
      <w:pPr>
        <w:pStyle w:val="2"/>
        <w:tabs>
          <w:tab w:val="left" w:pos="4140"/>
        </w:tabs>
        <w:snapToGrid w:val="0"/>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某实验小组为了探究低温处理对同种异体跟腱移植时免疫排斥反应的影响，将60只兔随机分为6组，将A组经超低温处理的跟腱20条移植给C组，将B组经普通低温处理的跟腱20条移植给D组，将E组在常温下处理的跟腱20条移植给F组，一段时间后C、D、F组小鼠体内相关指标检测结果如表所示，请回答下列问题：</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4207"/>
        <w:gridCol w:w="2322"/>
      </w:tblGrid>
      <w:tr w14:paraId="5B05C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noWrap w:val="0"/>
            <w:vAlign w:val="center"/>
          </w:tcPr>
          <w:p w14:paraId="5C55C8BE">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组别</w:t>
            </w:r>
          </w:p>
        </w:tc>
        <w:tc>
          <w:tcPr>
            <w:tcW w:w="4207" w:type="dxa"/>
            <w:noWrap w:val="0"/>
            <w:vAlign w:val="center"/>
          </w:tcPr>
          <w:p w14:paraId="401EAB88">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吞噬细胞中发挥吞噬功能的比例(%)</w:t>
            </w:r>
          </w:p>
        </w:tc>
        <w:tc>
          <w:tcPr>
            <w:tcW w:w="2322" w:type="dxa"/>
            <w:noWrap w:val="0"/>
            <w:vAlign w:val="center"/>
          </w:tcPr>
          <w:p w14:paraId="1FEAF206">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淋巴细胞增殖能力</w:t>
            </w:r>
          </w:p>
        </w:tc>
      </w:tr>
      <w:tr w14:paraId="63E92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noWrap w:val="0"/>
            <w:vAlign w:val="center"/>
          </w:tcPr>
          <w:p w14:paraId="06531D48">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C组</w:t>
            </w:r>
          </w:p>
        </w:tc>
        <w:tc>
          <w:tcPr>
            <w:tcW w:w="4207" w:type="dxa"/>
            <w:noWrap w:val="0"/>
            <w:vAlign w:val="center"/>
          </w:tcPr>
          <w:p w14:paraId="75272BA2">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63.94</w:t>
            </w:r>
          </w:p>
        </w:tc>
        <w:tc>
          <w:tcPr>
            <w:tcW w:w="2322" w:type="dxa"/>
            <w:noWrap w:val="0"/>
            <w:vAlign w:val="center"/>
          </w:tcPr>
          <w:p w14:paraId="60433D43">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0.18</w:t>
            </w:r>
          </w:p>
        </w:tc>
      </w:tr>
      <w:tr w14:paraId="35440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29" w:type="dxa"/>
            <w:noWrap w:val="0"/>
            <w:vAlign w:val="center"/>
          </w:tcPr>
          <w:p w14:paraId="1589B916">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D组</w:t>
            </w:r>
          </w:p>
        </w:tc>
        <w:tc>
          <w:tcPr>
            <w:tcW w:w="4207" w:type="dxa"/>
            <w:noWrap w:val="0"/>
            <w:vAlign w:val="center"/>
          </w:tcPr>
          <w:p w14:paraId="59C36EBA">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72.94</w:t>
            </w:r>
          </w:p>
        </w:tc>
        <w:tc>
          <w:tcPr>
            <w:tcW w:w="2322" w:type="dxa"/>
            <w:noWrap w:val="0"/>
            <w:vAlign w:val="center"/>
          </w:tcPr>
          <w:p w14:paraId="57918340">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0.28</w:t>
            </w:r>
          </w:p>
        </w:tc>
      </w:tr>
      <w:tr w14:paraId="12F93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829" w:type="dxa"/>
            <w:noWrap w:val="0"/>
            <w:vAlign w:val="center"/>
          </w:tcPr>
          <w:p w14:paraId="241AF657">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F组</w:t>
            </w:r>
          </w:p>
        </w:tc>
        <w:tc>
          <w:tcPr>
            <w:tcW w:w="4207" w:type="dxa"/>
            <w:noWrap w:val="0"/>
            <w:vAlign w:val="center"/>
          </w:tcPr>
          <w:p w14:paraId="7BCAFCCD">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85.38</w:t>
            </w:r>
          </w:p>
        </w:tc>
        <w:tc>
          <w:tcPr>
            <w:tcW w:w="2322" w:type="dxa"/>
            <w:noWrap w:val="0"/>
            <w:vAlign w:val="center"/>
          </w:tcPr>
          <w:p w14:paraId="755B627C">
            <w:pPr>
              <w:pStyle w:val="2"/>
              <w:tabs>
                <w:tab w:val="left" w:pos="4140"/>
              </w:tabs>
              <w:snapToGrid w:val="0"/>
              <w:spacing w:line="360" w:lineRule="auto"/>
              <w:jc w:val="center"/>
              <w:rPr>
                <w:rFonts w:hint="eastAsia" w:ascii="宋体" w:hAnsi="宋体" w:eastAsia="宋体" w:cs="宋体"/>
                <w:b w:val="0"/>
                <w:bCs w:val="0"/>
                <w:sz w:val="24"/>
                <w:szCs w:val="24"/>
              </w:rPr>
            </w:pPr>
            <w:r>
              <w:rPr>
                <w:rFonts w:hint="eastAsia" w:ascii="宋体" w:hAnsi="宋体" w:eastAsia="宋体" w:cs="宋体"/>
                <w:b w:val="0"/>
                <w:bCs w:val="0"/>
                <w:sz w:val="24"/>
                <w:szCs w:val="24"/>
              </w:rPr>
              <w:t>0.38</w:t>
            </w:r>
          </w:p>
        </w:tc>
      </w:tr>
    </w:tbl>
    <w:p w14:paraId="5264D5C3">
      <w:pPr>
        <w:pStyle w:val="2"/>
        <w:keepNext w:val="0"/>
        <w:keepLines w:val="0"/>
        <w:pageBreakBefore w:val="0"/>
        <w:widowControl w:val="0"/>
        <w:tabs>
          <w:tab w:val="left" w:pos="4140"/>
        </w:tabs>
        <w:kinsoku/>
        <w:wordWrap/>
        <w:overflowPunct/>
        <w:topLinePunct w:val="0"/>
        <w:autoSpaceDE/>
        <w:autoSpaceDN/>
        <w:bidi w:val="0"/>
        <w:adjustRightInd/>
        <w:snapToGrid w:val="0"/>
        <w:spacing w:line="480" w:lineRule="auto"/>
        <w:textAlignment w:val="auto"/>
        <w:rPr>
          <w:rFonts w:hint="eastAsia" w:ascii="宋体" w:hAnsi="宋体" w:eastAsia="宋体" w:cs="宋体"/>
          <w:b w:val="0"/>
          <w:bCs w:val="0"/>
          <w:sz w:val="18"/>
          <w:szCs w:val="18"/>
        </w:rPr>
      </w:pPr>
    </w:p>
    <w:p w14:paraId="11504C47">
      <w:pPr>
        <w:pStyle w:val="2"/>
        <w:keepNext w:val="0"/>
        <w:keepLines w:val="0"/>
        <w:pageBreakBefore w:val="0"/>
        <w:widowControl w:val="0"/>
        <w:tabs>
          <w:tab w:val="left" w:pos="4140"/>
        </w:tabs>
        <w:kinsoku/>
        <w:wordWrap/>
        <w:overflowPunct/>
        <w:topLinePunct w:val="0"/>
        <w:autoSpaceDE/>
        <w:autoSpaceDN/>
        <w:bidi w:val="0"/>
        <w:adjustRightInd/>
        <w:snapToGrid w:val="0"/>
        <w:spacing w:line="70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(1)本实验因变量是</w:t>
      </w:r>
      <w:r>
        <w:rPr>
          <w:rFonts w:hint="eastAsia" w:hAnsi="宋体" w:cs="宋体"/>
          <w:b w:val="0"/>
          <w:bCs w:val="0"/>
          <w:sz w:val="24"/>
          <w:szCs w:val="24"/>
          <w:u w:val="single"/>
          <w:lang w:val="en-US" w:eastAsia="zh-CN"/>
        </w:rPr>
        <w:t xml:space="preserve">                                       </w:t>
      </w:r>
      <w:r>
        <w:rPr>
          <w:rFonts w:hint="eastAsia" w:ascii="宋体" w:hAnsi="宋体" w:eastAsia="宋体" w:cs="宋体"/>
          <w:b w:val="0"/>
          <w:bCs w:val="0"/>
          <w:sz w:val="24"/>
          <w:szCs w:val="24"/>
        </w:rPr>
        <w:t>。</w:t>
      </w:r>
    </w:p>
    <w:p w14:paraId="3A75B7AD">
      <w:pPr>
        <w:pStyle w:val="2"/>
        <w:keepNext w:val="0"/>
        <w:keepLines w:val="0"/>
        <w:pageBreakBefore w:val="0"/>
        <w:widowControl w:val="0"/>
        <w:tabs>
          <w:tab w:val="left" w:pos="4140"/>
        </w:tabs>
        <w:kinsoku/>
        <w:wordWrap/>
        <w:overflowPunct/>
        <w:topLinePunct w:val="0"/>
        <w:autoSpaceDE/>
        <w:autoSpaceDN/>
        <w:bidi w:val="0"/>
        <w:adjustRightInd/>
        <w:snapToGrid w:val="0"/>
        <w:spacing w:line="70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(2)被移植的跟腱在免疫学上相当于</w:t>
      </w:r>
      <w:r>
        <w:rPr>
          <w:rFonts w:hint="eastAsia" w:hAnsi="宋体" w:cs="宋体"/>
          <w:b w:val="0"/>
          <w:bCs w:val="0"/>
          <w:sz w:val="24"/>
          <w:szCs w:val="24"/>
          <w:u w:val="single"/>
          <w:lang w:val="en-US" w:eastAsia="zh-CN"/>
        </w:rPr>
        <w:t xml:space="preserve">             </w:t>
      </w:r>
      <w:r>
        <w:rPr>
          <w:rFonts w:hint="eastAsia" w:ascii="宋体" w:hAnsi="宋体" w:eastAsia="宋体" w:cs="宋体"/>
          <w:b w:val="0"/>
          <w:bCs w:val="0"/>
          <w:sz w:val="24"/>
          <w:szCs w:val="24"/>
        </w:rPr>
        <w:t>，其中参与移植排斥反应的主要是T细胞，其成熟部位是在</w:t>
      </w:r>
      <w:r>
        <w:rPr>
          <w:rFonts w:hint="eastAsia" w:hAnsi="宋体" w:cs="宋体"/>
          <w:b w:val="0"/>
          <w:bCs w:val="0"/>
          <w:sz w:val="24"/>
          <w:szCs w:val="24"/>
          <w:u w:val="single"/>
          <w:lang w:val="en-US" w:eastAsia="zh-CN"/>
        </w:rPr>
        <w:t xml:space="preserve">                 </w:t>
      </w:r>
      <w:r>
        <w:rPr>
          <w:rFonts w:hint="eastAsia" w:ascii="宋体" w:hAnsi="宋体" w:eastAsia="宋体" w:cs="宋体"/>
          <w:b w:val="0"/>
          <w:bCs w:val="0"/>
          <w:sz w:val="24"/>
          <w:szCs w:val="24"/>
        </w:rPr>
        <w:t>。</w:t>
      </w:r>
    </w:p>
    <w:p w14:paraId="17CE88D6">
      <w:pPr>
        <w:pStyle w:val="2"/>
        <w:keepNext w:val="0"/>
        <w:keepLines w:val="0"/>
        <w:pageBreakBefore w:val="0"/>
        <w:widowControl w:val="0"/>
        <w:tabs>
          <w:tab w:val="left" w:pos="4140"/>
        </w:tabs>
        <w:kinsoku/>
        <w:wordWrap/>
        <w:overflowPunct/>
        <w:topLinePunct w:val="0"/>
        <w:autoSpaceDE/>
        <w:autoSpaceDN/>
        <w:bidi w:val="0"/>
        <w:adjustRightInd/>
        <w:snapToGrid w:val="0"/>
        <w:spacing w:line="70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(3)表格中吞噬细胞功能相对于原来有所减弱，表明</w:t>
      </w:r>
      <w:r>
        <w:rPr>
          <w:rFonts w:hint="eastAsia" w:hAnsi="宋体" w:cs="宋体"/>
          <w:b w:val="0"/>
          <w:bCs w:val="0"/>
          <w:sz w:val="24"/>
          <w:szCs w:val="24"/>
          <w:u w:val="single"/>
          <w:lang w:val="en-US" w:eastAsia="zh-CN"/>
        </w:rPr>
        <w:t xml:space="preserve">                     </w:t>
      </w:r>
      <w:r>
        <w:rPr>
          <w:rFonts w:hint="eastAsia" w:ascii="宋体" w:hAnsi="宋体" w:eastAsia="宋体" w:cs="宋体"/>
          <w:b w:val="0"/>
          <w:bCs w:val="0"/>
          <w:sz w:val="24"/>
          <w:szCs w:val="24"/>
        </w:rPr>
        <w:t>免疫比原来减弱。淋巴细胞数目相对于原来也有所减少，表明</w:t>
      </w:r>
      <w:r>
        <w:rPr>
          <w:rFonts w:hint="eastAsia" w:hAnsi="宋体" w:cs="宋体"/>
          <w:b w:val="0"/>
          <w:bCs w:val="0"/>
          <w:sz w:val="24"/>
          <w:szCs w:val="24"/>
          <w:u w:val="single"/>
          <w:lang w:val="en-US" w:eastAsia="zh-CN"/>
        </w:rPr>
        <w:t xml:space="preserve">                 </w:t>
      </w:r>
      <w:r>
        <w:rPr>
          <w:rFonts w:hint="eastAsia" w:ascii="宋体" w:hAnsi="宋体" w:eastAsia="宋体" w:cs="宋体"/>
          <w:b w:val="0"/>
          <w:bCs w:val="0"/>
          <w:sz w:val="24"/>
          <w:szCs w:val="24"/>
        </w:rPr>
        <w:t>免疫比原来减弱。</w:t>
      </w:r>
    </w:p>
    <w:p w14:paraId="0FC66AFD">
      <w:pPr>
        <w:pStyle w:val="2"/>
        <w:keepNext w:val="0"/>
        <w:keepLines w:val="0"/>
        <w:pageBreakBefore w:val="0"/>
        <w:widowControl w:val="0"/>
        <w:tabs>
          <w:tab w:val="left" w:pos="4140"/>
        </w:tabs>
        <w:kinsoku/>
        <w:wordWrap/>
        <w:overflowPunct/>
        <w:topLinePunct w:val="0"/>
        <w:autoSpaceDE/>
        <w:autoSpaceDN/>
        <w:bidi w:val="0"/>
        <w:adjustRightInd/>
        <w:snapToGrid w:val="0"/>
        <w:spacing w:line="70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(4)免疫系统的功能有</w:t>
      </w:r>
      <w:r>
        <w:rPr>
          <w:rFonts w:hint="eastAsia" w:hAnsi="宋体" w:cs="宋体"/>
          <w:b w:val="0"/>
          <w:bCs w:val="0"/>
          <w:sz w:val="24"/>
          <w:szCs w:val="24"/>
          <w:u w:val="single"/>
          <w:lang w:val="en-US" w:eastAsia="zh-CN"/>
        </w:rPr>
        <w:t xml:space="preserve">                                                 </w:t>
      </w:r>
      <w:r>
        <w:rPr>
          <w:rFonts w:hint="eastAsia" w:ascii="宋体" w:hAnsi="宋体" w:eastAsia="宋体" w:cs="宋体"/>
          <w:b w:val="0"/>
          <w:bCs w:val="0"/>
          <w:sz w:val="24"/>
          <w:szCs w:val="24"/>
        </w:rPr>
        <w:t>。</w:t>
      </w:r>
    </w:p>
    <w:p w14:paraId="2666B995">
      <w:pPr>
        <w:pStyle w:val="2"/>
        <w:keepNext w:val="0"/>
        <w:keepLines w:val="0"/>
        <w:pageBreakBefore w:val="0"/>
        <w:widowControl w:val="0"/>
        <w:tabs>
          <w:tab w:val="left" w:pos="4140"/>
        </w:tabs>
        <w:kinsoku/>
        <w:wordWrap/>
        <w:overflowPunct/>
        <w:topLinePunct w:val="0"/>
        <w:autoSpaceDE/>
        <w:autoSpaceDN/>
        <w:bidi w:val="0"/>
        <w:adjustRightInd/>
        <w:snapToGrid w:val="0"/>
        <w:spacing w:line="700" w:lineRule="exact"/>
        <w:textAlignment w:val="auto"/>
        <w:rPr>
          <w:rFonts w:hint="eastAsia" w:hAnsi="宋体" w:cs="宋体"/>
          <w:b w:val="0"/>
          <w:bCs w:val="0"/>
          <w:sz w:val="24"/>
          <w:szCs w:val="24"/>
          <w:u w:val="single"/>
          <w:lang w:val="en-US" w:eastAsia="zh-CN"/>
        </w:rPr>
      </w:pPr>
      <w:r>
        <w:rPr>
          <w:rFonts w:hint="eastAsia" w:ascii="宋体" w:hAnsi="宋体" w:eastAsia="宋体" w:cs="宋体"/>
          <w:b w:val="0"/>
          <w:bCs w:val="0"/>
          <w:sz w:val="24"/>
          <w:szCs w:val="24"/>
        </w:rPr>
        <w:t>(5)由实验数据可以得出的结论为</w:t>
      </w:r>
      <w:r>
        <w:rPr>
          <w:rFonts w:hint="eastAsia" w:hAnsi="宋体" w:cs="宋体"/>
          <w:b w:val="0"/>
          <w:bCs w:val="0"/>
          <w:sz w:val="24"/>
          <w:szCs w:val="24"/>
          <w:u w:val="single"/>
          <w:lang w:val="en-US" w:eastAsia="zh-CN"/>
        </w:rPr>
        <w:t xml:space="preserve">                                           </w:t>
      </w:r>
    </w:p>
    <w:p w14:paraId="47565B36">
      <w:pPr>
        <w:pStyle w:val="2"/>
        <w:keepNext w:val="0"/>
        <w:keepLines w:val="0"/>
        <w:pageBreakBefore w:val="0"/>
        <w:widowControl w:val="0"/>
        <w:tabs>
          <w:tab w:val="left" w:pos="4140"/>
        </w:tabs>
        <w:kinsoku/>
        <w:wordWrap/>
        <w:overflowPunct/>
        <w:topLinePunct w:val="0"/>
        <w:autoSpaceDE/>
        <w:autoSpaceDN/>
        <w:bidi w:val="0"/>
        <w:adjustRightInd/>
        <w:snapToGrid w:val="0"/>
        <w:spacing w:line="700" w:lineRule="exact"/>
        <w:textAlignment w:val="auto"/>
        <w:rPr>
          <w:rFonts w:hint="eastAsia" w:ascii="宋体" w:hAnsi="宋体" w:eastAsia="宋体" w:cs="宋体"/>
          <w:b w:val="0"/>
          <w:bCs w:val="0"/>
          <w:sz w:val="24"/>
          <w:szCs w:val="24"/>
        </w:rPr>
      </w:pPr>
      <w:r>
        <w:rPr>
          <w:rFonts w:hint="eastAsia" w:hAnsi="宋体" w:cs="宋体"/>
          <w:b w:val="0"/>
          <w:bCs w:val="0"/>
          <w:sz w:val="24"/>
          <w:szCs w:val="24"/>
          <w:u w:val="single"/>
          <w:lang w:val="en-US" w:eastAsia="zh-CN"/>
        </w:rPr>
        <w:t xml:space="preserve">                                                                    </w:t>
      </w:r>
      <w:r>
        <w:rPr>
          <w:rFonts w:hint="eastAsia" w:ascii="宋体" w:hAnsi="宋体" w:eastAsia="宋体" w:cs="宋体"/>
          <w:b w:val="0"/>
          <w:bCs w:val="0"/>
          <w:sz w:val="24"/>
          <w:szCs w:val="24"/>
        </w:rPr>
        <w:t>。</w:t>
      </w:r>
    </w:p>
    <w:p w14:paraId="65FE7763">
      <w:pPr>
        <w:numPr>
          <w:ilvl w:val="0"/>
          <w:numId w:val="0"/>
        </w:numPr>
        <w:ind w:leftChars="0"/>
        <w:rPr>
          <w:rFonts w:hint="default"/>
          <w:b/>
          <w:bCs/>
          <w:sz w:val="32"/>
          <w:szCs w:val="32"/>
          <w:lang w:val="en-US" w:eastAsia="zh-CN"/>
        </w:rPr>
      </w:pPr>
    </w:p>
    <w:sectPr>
      <w:headerReference r:id="rId7"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765E4">
    <w:pPr>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B80392">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3B80392">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C6897">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E357E">
    <w:pPr>
      <w:jc w:val="both"/>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EFA8EA">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51EFA8EA">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55E90">
    <w:pPr>
      <w:pStyle w:val="4"/>
      <w:rPr>
        <w:rFonts w:hint="default" w:eastAsiaTheme="minorEastAsia"/>
        <w:sz w:val="18"/>
        <w:szCs w:val="18"/>
        <w:lang w:val="en-US" w:eastAsia="zh-CN"/>
      </w:rPr>
    </w:pPr>
    <w:r>
      <w:rPr>
        <w:rFonts w:hint="eastAsia"/>
        <w:sz w:val="18"/>
        <w:szCs w:val="18"/>
        <w:lang w:val="en-US" w:eastAsia="zh-CN"/>
      </w:rPr>
      <w:t>横峰中学学生寒假作业（生物） 编号：hfzx （5） 使用时间: 2025.2.1编写人：詹 云 审核人：汪帅</w:t>
    </w:r>
  </w:p>
  <w:p w14:paraId="236694EC">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横峰中学学生寒假作业（学科） 编号：hfzx （5） 使用时间:2025.2.1 编写人：詹 云 审核人：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6D1999"/>
    <w:multiLevelType w:val="singleLevel"/>
    <w:tmpl w:val="256D199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C2062B0"/>
    <w:rsid w:val="0F2614B2"/>
    <w:rsid w:val="11EA32B4"/>
    <w:rsid w:val="122F1C83"/>
    <w:rsid w:val="12980212"/>
    <w:rsid w:val="18EA07E2"/>
    <w:rsid w:val="19032B97"/>
    <w:rsid w:val="21EF529B"/>
    <w:rsid w:val="238C4FCD"/>
    <w:rsid w:val="3CD7482B"/>
    <w:rsid w:val="42984EF4"/>
    <w:rsid w:val="4DC90020"/>
    <w:rsid w:val="4E8956D1"/>
    <w:rsid w:val="72D97D5D"/>
    <w:rsid w:val="74676C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3770</Words>
  <Characters>3905</Characters>
  <Lines>0</Lines>
  <Paragraphs>0</Paragraphs>
  <TotalTime>1</TotalTime>
  <ScaleCrop>false</ScaleCrop>
  <LinksUpToDate>false</LinksUpToDate>
  <CharactersWithSpaces>4249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W.S</cp:lastModifiedBy>
  <dcterms:modified xsi:type="dcterms:W3CDTF">2025-01-08T10:38:31Z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148720249CAD46D7B7F3A46C2FAC0E59_13</vt:lpwstr>
  </property>
  <property fmtid="{D5CDD505-2E9C-101B-9397-08002B2CF9AE}" pid="4" name="KSOTemplateDocerSaveRecord">
    <vt:lpwstr>eyJoZGlkIjoiY2VhNmFlOGJmNjI4ZDZlNjQ5ZDE1OWVmMzU0N2E0YzIiLCJ1c2VySWQiOiI5ODI4MDM2NDAifQ==</vt:lpwstr>
  </property>
</Properties>
</file>