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生物学科寒假作业（复习）   Day 2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275232AF">
      <w:pPr>
        <w:numPr>
          <w:ilvl w:val="0"/>
          <w:numId w:val="1"/>
        </w:num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rPr>
        <w:t>激素与内分泌系统</w:t>
      </w:r>
    </w:p>
    <w:p w14:paraId="3DC603CB">
      <w:pPr>
        <w:rPr>
          <w:rFonts w:hint="eastAsia" w:ascii="宋体" w:hAnsi="宋体" w:eastAsia="宋体" w:cs="宋体"/>
          <w:b/>
          <w:bCs/>
          <w:sz w:val="21"/>
          <w:szCs w:val="21"/>
        </w:rPr>
      </w:pP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内分泌腺和外分泌腺</w:t>
      </w:r>
    </w:p>
    <w:p w14:paraId="09E3A1AD">
      <w:pPr>
        <w:rPr>
          <w:rFonts w:hint="eastAsia"/>
          <w:sz w:val="32"/>
          <w:szCs w:val="32"/>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外分泌腺</w:t>
      </w:r>
      <w:r>
        <w:rPr>
          <w:rFonts w:hint="eastAsia" w:ascii="宋体" w:hAnsi="宋体" w:eastAsia="宋体" w:cs="宋体"/>
          <w:sz w:val="21"/>
          <w:szCs w:val="21"/>
          <w:lang w:eastAsia="zh-CN"/>
        </w:rPr>
        <w:t>：</w:t>
      </w:r>
      <w:r>
        <w:rPr>
          <w:rFonts w:hint="eastAsia" w:ascii="宋体" w:hAnsi="宋体" w:eastAsia="宋体" w:cs="宋体"/>
          <w:sz w:val="21"/>
          <w:szCs w:val="21"/>
        </w:rPr>
        <w:t>分泌物经由导管而流出体外或流到消化腔的，如汗腺、唾液腺、胃腺等。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内分泌腺</w:t>
      </w:r>
      <w:r>
        <w:rPr>
          <w:rFonts w:hint="eastAsia" w:ascii="宋体" w:hAnsi="宋体" w:eastAsia="宋体" w:cs="宋体"/>
          <w:sz w:val="21"/>
          <w:szCs w:val="21"/>
          <w:lang w:eastAsia="zh-CN"/>
        </w:rPr>
        <w:t>：</w:t>
      </w:r>
      <w:r>
        <w:rPr>
          <w:rFonts w:hint="eastAsia" w:ascii="宋体" w:hAnsi="宋体" w:eastAsia="宋体" w:cs="宋体"/>
          <w:sz w:val="21"/>
          <w:szCs w:val="21"/>
        </w:rPr>
        <w:t>没有导管的腺体，其分泌物——激素直接进入腺体内的毛细血管，并随血液循环输送到全身各处的，如甲状腺、肾上腺等。</w:t>
      </w:r>
    </w:p>
    <w:p w14:paraId="2277D9CF">
      <w:pPr>
        <w:numPr>
          <w:ilvl w:val="0"/>
          <w:numId w:val="0"/>
        </w:numPr>
        <w:spacing w:line="330" w:lineRule="exact"/>
        <w:rPr>
          <w:rFonts w:hint="eastAsia"/>
          <w:b/>
          <w:sz w:val="21"/>
          <w:szCs w:val="21"/>
        </w:rPr>
      </w:pPr>
      <w:r>
        <w:rPr>
          <w:rFonts w:hint="eastAsia"/>
          <w:b/>
          <w:sz w:val="21"/>
          <w:szCs w:val="21"/>
          <w:lang w:val="en-US" w:eastAsia="zh-CN"/>
        </w:rPr>
        <w:t>2.</w:t>
      </w:r>
      <w:r>
        <w:rPr>
          <w:rFonts w:hint="eastAsia"/>
          <w:b/>
          <w:sz w:val="21"/>
          <w:szCs w:val="21"/>
        </w:rPr>
        <w:t>内分泌系统的组成和功能</w:t>
      </w:r>
    </w:p>
    <w:p w14:paraId="35D46D75">
      <w:pPr>
        <w:rPr>
          <w:rFonts w:asciiTheme="minorEastAsia" w:hAnsiTheme="minorEastAsia" w:eastAsiaTheme="minorEastAsia"/>
          <w:b w:val="0"/>
          <w:bCs w:val="0"/>
          <w:sz w:val="21"/>
          <w:szCs w:val="21"/>
        </w:rPr>
      </w:pPr>
      <w:r>
        <w:rPr>
          <w:rFonts w:hint="eastAsia" w:asciiTheme="minorEastAsia" w:hAnsiTheme="minorEastAsia"/>
          <w:b w:val="0"/>
          <w:bCs w:val="0"/>
          <w:color w:val="auto"/>
          <w:sz w:val="21"/>
          <w:szCs w:val="21"/>
          <w:lang w:eastAsia="zh-CN"/>
        </w:rPr>
        <w:t>（</w:t>
      </w:r>
      <w:r>
        <w:rPr>
          <w:rFonts w:hint="eastAsia" w:asciiTheme="minorEastAsia" w:hAnsiTheme="minorEastAsia"/>
          <w:b w:val="0"/>
          <w:bCs w:val="0"/>
          <w:color w:val="auto"/>
          <w:sz w:val="21"/>
          <w:szCs w:val="21"/>
          <w:lang w:val="en-US" w:eastAsia="zh-CN"/>
        </w:rPr>
        <w:t>1</w:t>
      </w:r>
      <w:r>
        <w:rPr>
          <w:rFonts w:hint="eastAsia" w:asciiTheme="minorEastAsia" w:hAnsiTheme="minorEastAsia"/>
          <w:b w:val="0"/>
          <w:bCs w:val="0"/>
          <w:color w:val="auto"/>
          <w:sz w:val="21"/>
          <w:szCs w:val="21"/>
          <w:lang w:eastAsia="zh-CN"/>
        </w:rPr>
        <w:t>）</w:t>
      </w:r>
      <w:r>
        <w:rPr>
          <w:rFonts w:asciiTheme="minorEastAsia" w:hAnsiTheme="minorEastAsia" w:eastAsiaTheme="minorEastAsia"/>
          <w:b w:val="0"/>
          <w:bCs w:val="0"/>
          <w:color w:val="auto"/>
          <w:sz w:val="21"/>
          <w:szCs w:val="21"/>
        </w:rPr>
        <w:t>组成：内分泌系统</w:t>
      </w:r>
      <w:r>
        <w:rPr>
          <w:rFonts w:hint="eastAsia" w:asciiTheme="minorEastAsia" w:hAnsiTheme="minorEastAsia" w:eastAsiaTheme="minorEastAsia"/>
          <w:b w:val="0"/>
          <w:bCs w:val="0"/>
          <w:color w:val="auto"/>
          <w:sz w:val="21"/>
          <w:szCs w:val="21"/>
        </w:rPr>
        <w:t>由相对独立的内分泌腺以及兼有内分泌功能的细胞共同构成。</w:t>
      </w:r>
    </w:p>
    <w:p w14:paraId="07A4E058">
      <w:pPr>
        <w:numPr>
          <w:ilvl w:val="0"/>
          <w:numId w:val="0"/>
        </w:numPr>
        <w:spacing w:line="330" w:lineRule="exact"/>
        <w:rPr>
          <w:rFonts w:hint="eastAsia" w:eastAsiaTheme="minorEastAsia"/>
          <w:b w:val="0"/>
          <w:bCs w:val="0"/>
          <w:sz w:val="21"/>
          <w:szCs w:val="21"/>
          <w:lang w:val="en-US" w:eastAsia="zh-CN"/>
        </w:rPr>
      </w:pPr>
      <w:r>
        <w:rPr>
          <w:rFonts w:hint="eastAsia"/>
          <w:b w:val="0"/>
          <w:bCs w:val="0"/>
          <w:sz w:val="21"/>
          <w:szCs w:val="21"/>
          <w:lang w:val="en-US" w:eastAsia="zh-CN"/>
        </w:rPr>
        <w:t>（2）主要的内分泌腺及其功能：</w:t>
      </w:r>
    </w:p>
    <w:tbl>
      <w:tblPr>
        <w:tblStyle w:val="6"/>
        <w:tblW w:w="9674"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120"/>
        <w:gridCol w:w="1540"/>
        <w:gridCol w:w="1358"/>
        <w:gridCol w:w="5025"/>
      </w:tblGrid>
      <w:tr w14:paraId="393C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1" w:type="dxa"/>
            <w:gridSpan w:val="2"/>
            <w:shd w:val="clear" w:color="auto" w:fill="auto"/>
            <w:vAlign w:val="center"/>
          </w:tcPr>
          <w:p w14:paraId="10663247">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内分泌腺</w:t>
            </w:r>
          </w:p>
        </w:tc>
        <w:tc>
          <w:tcPr>
            <w:tcW w:w="1540" w:type="dxa"/>
            <w:shd w:val="clear" w:color="auto" w:fill="auto"/>
            <w:vAlign w:val="center"/>
          </w:tcPr>
          <w:p w14:paraId="764A2B20">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激素</w:t>
            </w:r>
          </w:p>
        </w:tc>
        <w:tc>
          <w:tcPr>
            <w:tcW w:w="1358" w:type="dxa"/>
            <w:shd w:val="clear" w:color="auto" w:fill="auto"/>
            <w:vAlign w:val="center"/>
          </w:tcPr>
          <w:p w14:paraId="2400A435">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化学本质</w:t>
            </w:r>
          </w:p>
        </w:tc>
        <w:tc>
          <w:tcPr>
            <w:tcW w:w="5025" w:type="dxa"/>
            <w:shd w:val="clear" w:color="auto" w:fill="auto"/>
            <w:vAlign w:val="center"/>
          </w:tcPr>
          <w:p w14:paraId="00F03ADB">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主要功能</w:t>
            </w:r>
          </w:p>
        </w:tc>
      </w:tr>
      <w:tr w14:paraId="2F9F5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Merge w:val="restart"/>
            <w:vAlign w:val="center"/>
          </w:tcPr>
          <w:p w14:paraId="265D130E">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下丘脑</w:t>
            </w:r>
          </w:p>
        </w:tc>
        <w:tc>
          <w:tcPr>
            <w:tcW w:w="1540" w:type="dxa"/>
            <w:vAlign w:val="center"/>
          </w:tcPr>
          <w:p w14:paraId="53F05747">
            <w:pPr>
              <w:snapToGrid w:val="0"/>
              <w:ind w:left="-53" w:leftChars="-25" w:right="-53" w:rightChars="-25"/>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促甲状腺激素</w:t>
            </w:r>
            <w:r>
              <w:rPr>
                <w:rFonts w:hint="eastAsia" w:ascii="宋体" w:hAnsi="宋体" w:eastAsia="宋体" w:cs="宋体"/>
                <w:color w:val="000000" w:themeColor="text1"/>
                <w:spacing w:val="-4"/>
                <w:sz w:val="21"/>
                <w:szCs w:val="21"/>
                <w:u w:val="none" w:color="auto"/>
                <w14:textFill>
                  <w14:solidFill>
                    <w14:schemeClr w14:val="tx1"/>
                  </w14:solidFill>
                </w14:textFill>
              </w:rPr>
              <w:t>释放激素(TRH)</w:t>
            </w:r>
          </w:p>
        </w:tc>
        <w:tc>
          <w:tcPr>
            <w:tcW w:w="1358" w:type="dxa"/>
            <w:vMerge w:val="restart"/>
            <w:vAlign w:val="center"/>
          </w:tcPr>
          <w:p w14:paraId="04B515DD">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多肽</w:t>
            </w:r>
          </w:p>
        </w:tc>
        <w:tc>
          <w:tcPr>
            <w:tcW w:w="5025" w:type="dxa"/>
            <w:vAlign w:val="center"/>
          </w:tcPr>
          <w:p w14:paraId="5DE72531">
            <w:pPr>
              <w:snapToGrid w:val="0"/>
              <w:ind w:left="-53" w:leftChars="-25" w:right="-53" w:rightChars="-25"/>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促进</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垂体</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合成并分泌</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促甲状腺激素</w:t>
            </w:r>
            <w:r>
              <w:rPr>
                <w:rFonts w:hint="eastAsia" w:ascii="宋体" w:hAnsi="宋体" w:eastAsia="宋体" w:cs="宋体"/>
                <w:color w:val="000000" w:themeColor="text1"/>
                <w:sz w:val="21"/>
                <w:szCs w:val="21"/>
                <w:u w:val="single"/>
                <w14:textFill>
                  <w14:solidFill>
                    <w14:schemeClr w14:val="tx1"/>
                  </w14:solidFill>
                </w14:textFill>
              </w:rPr>
              <w:t xml:space="preserve">  </w:t>
            </w:r>
          </w:p>
        </w:tc>
      </w:tr>
      <w:tr w14:paraId="1D2D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Merge w:val="continue"/>
            <w:vAlign w:val="center"/>
          </w:tcPr>
          <w:p w14:paraId="305D04F2">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p>
        </w:tc>
        <w:tc>
          <w:tcPr>
            <w:tcW w:w="1540" w:type="dxa"/>
            <w:vAlign w:val="center"/>
          </w:tcPr>
          <w:p w14:paraId="3D74EB73">
            <w:pPr>
              <w:snapToGrid w:val="0"/>
              <w:ind w:left="-53" w:leftChars="-25" w:right="-53" w:rightChars="-25"/>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促性腺激素</w:t>
            </w:r>
          </w:p>
          <w:p w14:paraId="2CE965D5">
            <w:pPr>
              <w:snapToGrid w:val="0"/>
              <w:ind w:left="-53" w:leftChars="-25" w:right="-53" w:rightChars="-25"/>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释放激素</w:t>
            </w:r>
          </w:p>
        </w:tc>
        <w:tc>
          <w:tcPr>
            <w:tcW w:w="1358" w:type="dxa"/>
            <w:vMerge w:val="continue"/>
            <w:vAlign w:val="center"/>
          </w:tcPr>
          <w:p w14:paraId="331F2C05">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p>
        </w:tc>
        <w:tc>
          <w:tcPr>
            <w:tcW w:w="5025" w:type="dxa"/>
            <w:vAlign w:val="center"/>
          </w:tcPr>
          <w:p w14:paraId="2A8A6228">
            <w:pPr>
              <w:snapToGrid w:val="0"/>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促进</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垂体</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合成并分泌</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促性腺激素</w:t>
            </w:r>
            <w:r>
              <w:rPr>
                <w:rFonts w:hint="eastAsia" w:ascii="宋体" w:hAnsi="宋体" w:eastAsia="宋体" w:cs="宋体"/>
                <w:color w:val="000000" w:themeColor="text1"/>
                <w:sz w:val="21"/>
                <w:szCs w:val="21"/>
                <w:u w:val="single"/>
                <w14:textFill>
                  <w14:solidFill>
                    <w14:schemeClr w14:val="tx1"/>
                  </w14:solidFill>
                </w14:textFill>
              </w:rPr>
              <w:t xml:space="preserve">   </w:t>
            </w:r>
          </w:p>
        </w:tc>
      </w:tr>
      <w:tr w14:paraId="3583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Merge w:val="continue"/>
            <w:vAlign w:val="center"/>
          </w:tcPr>
          <w:p w14:paraId="3E06DB0C">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p>
        </w:tc>
        <w:tc>
          <w:tcPr>
            <w:tcW w:w="1540" w:type="dxa"/>
            <w:vAlign w:val="center"/>
          </w:tcPr>
          <w:p w14:paraId="6DAEDB3A">
            <w:pPr>
              <w:snapToGrid w:val="0"/>
              <w:ind w:right="-105" w:rightChars="-50"/>
              <w:jc w:val="both"/>
              <w:rPr>
                <w:rFonts w:hint="default" w:ascii="宋体" w:hAnsi="宋体" w:eastAsia="宋体" w:cs="宋体"/>
                <w:color w:val="000000" w:themeColor="text1"/>
                <w:sz w:val="21"/>
                <w:szCs w:val="21"/>
                <w:u w:val="none" w:color="auto"/>
                <w:lang w:val="en-US" w:eastAsia="zh-CN"/>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促肾上腺皮质激素释放激素</w:t>
            </w:r>
          </w:p>
        </w:tc>
        <w:tc>
          <w:tcPr>
            <w:tcW w:w="1358" w:type="dxa"/>
            <w:vMerge w:val="continue"/>
            <w:vAlign w:val="center"/>
          </w:tcPr>
          <w:p w14:paraId="4B16ABF1">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p>
        </w:tc>
        <w:tc>
          <w:tcPr>
            <w:tcW w:w="5025" w:type="dxa"/>
            <w:vAlign w:val="center"/>
          </w:tcPr>
          <w:p w14:paraId="105E8776">
            <w:pPr>
              <w:snapToGrid w:val="0"/>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促进</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垂体</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合成并分泌</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促</w:t>
            </w:r>
            <w:r>
              <w:rPr>
                <w:rFonts w:hint="eastAsia" w:ascii="宋体" w:hAnsi="宋体" w:eastAsia="宋体" w:cs="宋体"/>
                <w:color w:val="000000" w:themeColor="text1"/>
                <w:sz w:val="21"/>
                <w:szCs w:val="21"/>
                <w:u w:val="single" w:color="000000"/>
                <w:lang w:val="en-US" w:eastAsia="zh-CN"/>
                <w14:textFill>
                  <w14:solidFill>
                    <w14:schemeClr w14:val="tx1"/>
                  </w14:solidFill>
                </w14:textFill>
              </w:rPr>
              <w:t>肾上腺皮质</w:t>
            </w:r>
            <w:r>
              <w:rPr>
                <w:rFonts w:hint="eastAsia" w:ascii="宋体" w:hAnsi="宋体" w:eastAsia="宋体" w:cs="宋体"/>
                <w:color w:val="000000" w:themeColor="text1"/>
                <w:sz w:val="21"/>
                <w:szCs w:val="21"/>
                <w:u w:val="single" w:color="000000"/>
                <w14:textFill>
                  <w14:solidFill>
                    <w14:schemeClr w14:val="tx1"/>
                  </w14:solidFill>
                </w14:textFill>
              </w:rPr>
              <w:t>激素</w:t>
            </w:r>
            <w:r>
              <w:rPr>
                <w:rFonts w:hint="eastAsia" w:ascii="宋体" w:hAnsi="宋体" w:eastAsia="宋体" w:cs="宋体"/>
                <w:color w:val="000000" w:themeColor="text1"/>
                <w:sz w:val="21"/>
                <w:szCs w:val="21"/>
                <w:u w:val="single"/>
                <w14:textFill>
                  <w14:solidFill>
                    <w14:schemeClr w14:val="tx1"/>
                  </w14:solidFill>
                </w14:textFill>
              </w:rPr>
              <w:t xml:space="preserve"> </w:t>
            </w:r>
          </w:p>
        </w:tc>
      </w:tr>
      <w:tr w14:paraId="02139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Merge w:val="continue"/>
            <w:vAlign w:val="center"/>
          </w:tcPr>
          <w:p w14:paraId="7C2AAD04">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p>
        </w:tc>
        <w:tc>
          <w:tcPr>
            <w:tcW w:w="1540" w:type="dxa"/>
            <w:vAlign w:val="center"/>
          </w:tcPr>
          <w:p w14:paraId="40722C08">
            <w:pPr>
              <w:snapToGrid w:val="0"/>
              <w:ind w:left="-105" w:leftChars="-50" w:right="-105" w:rightChars="-50"/>
              <w:jc w:val="center"/>
              <w:rPr>
                <w:rFonts w:hint="default" w:ascii="宋体" w:hAnsi="宋体" w:eastAsia="宋体" w:cs="宋体"/>
                <w:color w:val="000000" w:themeColor="text1"/>
                <w:sz w:val="21"/>
                <w:szCs w:val="21"/>
                <w:u w:val="none" w:color="auto"/>
                <w:lang w:val="en-US"/>
                <w14:textFill>
                  <w14:solidFill>
                    <w14:schemeClr w14:val="tx1"/>
                  </w14:solidFill>
                </w14:textFill>
              </w:rPr>
            </w:pPr>
            <w:r>
              <w:rPr>
                <w:rFonts w:hint="default" w:ascii="宋体" w:hAnsi="宋体" w:eastAsia="宋体" w:cs="宋体"/>
                <w:color w:val="000000" w:themeColor="text1"/>
                <w:sz w:val="21"/>
                <w:szCs w:val="21"/>
                <w:u w:val="none" w:color="auto"/>
                <w:lang w:val="en-US"/>
                <w14:textFill>
                  <w14:solidFill>
                    <w14:schemeClr w14:val="tx1"/>
                  </w14:solidFill>
                </w14:textFill>
              </w:rPr>
              <w:t>抗利尿激素</w:t>
            </w:r>
          </w:p>
        </w:tc>
        <w:tc>
          <w:tcPr>
            <w:tcW w:w="1358" w:type="dxa"/>
            <w:vMerge w:val="continue"/>
            <w:vAlign w:val="center"/>
          </w:tcPr>
          <w:p w14:paraId="01BC4F6F">
            <w:pPr>
              <w:snapToGrid w:val="0"/>
              <w:ind w:left="-105" w:leftChars="-50" w:right="-105" w:rightChars="-50"/>
              <w:jc w:val="center"/>
              <w:rPr>
                <w:rFonts w:hint="default" w:ascii="宋体" w:hAnsi="宋体" w:eastAsia="宋体" w:cs="宋体"/>
                <w:color w:val="000000" w:themeColor="text1"/>
                <w:sz w:val="21"/>
                <w:szCs w:val="21"/>
                <w:u w:val="none" w:color="auto"/>
                <w:lang w:val="en-US"/>
                <w14:textFill>
                  <w14:solidFill>
                    <w14:schemeClr w14:val="tx1"/>
                  </w14:solidFill>
                </w14:textFill>
              </w:rPr>
            </w:pPr>
          </w:p>
        </w:tc>
        <w:tc>
          <w:tcPr>
            <w:tcW w:w="5025" w:type="dxa"/>
            <w:vAlign w:val="center"/>
          </w:tcPr>
          <w:p w14:paraId="47CD2647">
            <w:pPr>
              <w:snapToGrid w:val="0"/>
              <w:ind w:left="-53" w:leftChars="-25" w:right="-53" w:rightChars="-25"/>
              <w:rPr>
                <w:rFonts w:hint="default" w:ascii="宋体" w:hAnsi="宋体" w:eastAsia="宋体" w:cs="宋体"/>
                <w:color w:val="000000" w:themeColor="text1"/>
                <w:sz w:val="21"/>
                <w:szCs w:val="21"/>
                <w:lang w:val="en-US"/>
                <w14:textFill>
                  <w14:solidFill>
                    <w14:schemeClr w14:val="tx1"/>
                  </w14:solidFill>
                </w14:textFill>
              </w:rPr>
            </w:pPr>
            <w:r>
              <w:rPr>
                <w:rFonts w:hint="default" w:ascii="宋体" w:hAnsi="宋体" w:eastAsia="宋体" w:cs="宋体"/>
                <w:color w:val="000000" w:themeColor="text1"/>
                <w:sz w:val="21"/>
                <w:szCs w:val="21"/>
                <w:lang w:val="en-US"/>
                <w14:textFill>
                  <w14:solidFill>
                    <w14:schemeClr w14:val="tx1"/>
                  </w14:solidFill>
                </w14:textFill>
              </w:rPr>
              <w:t>促进</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u w:val="single" w:color="000000"/>
                <w:lang w:val="en-US"/>
                <w14:textFill>
                  <w14:solidFill>
                    <w14:schemeClr w14:val="tx1"/>
                  </w14:solidFill>
                </w14:textFill>
              </w:rPr>
              <w:t>肾小管</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lang w:val="en-US"/>
                <w14:textFill>
                  <w14:solidFill>
                    <w14:schemeClr w14:val="tx1"/>
                  </w14:solidFill>
                </w14:textFill>
              </w:rPr>
              <w:t>、</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u w:val="single" w:color="000000"/>
                <w:lang w:val="en-US"/>
                <w14:textFill>
                  <w14:solidFill>
                    <w14:schemeClr w14:val="tx1"/>
                  </w14:solidFill>
                </w14:textFill>
              </w:rPr>
              <w:t>集合管</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lang w:val="en-US"/>
                <w14:textFill>
                  <w14:solidFill>
                    <w14:schemeClr w14:val="tx1"/>
                  </w14:solidFill>
                </w14:textFill>
              </w:rPr>
              <w:t>对</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u w:val="single" w:color="000000"/>
                <w:lang w:val="en-US"/>
                <w14:textFill>
                  <w14:solidFill>
                    <w14:schemeClr w14:val="tx1"/>
                  </w14:solidFill>
                </w14:textFill>
              </w:rPr>
              <w:t>水</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lang w:val="en-US"/>
                <w14:textFill>
                  <w14:solidFill>
                    <w14:schemeClr w14:val="tx1"/>
                  </w14:solidFill>
                </w14:textFill>
              </w:rPr>
              <w:t>的重吸收</w:t>
            </w:r>
          </w:p>
        </w:tc>
      </w:tr>
      <w:tr w14:paraId="49B18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Merge w:val="restart"/>
            <w:vAlign w:val="center"/>
          </w:tcPr>
          <w:p w14:paraId="353A4187">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垂体</w:t>
            </w:r>
          </w:p>
        </w:tc>
        <w:tc>
          <w:tcPr>
            <w:tcW w:w="1540" w:type="dxa"/>
            <w:vAlign w:val="center"/>
          </w:tcPr>
          <w:p w14:paraId="168B46EC">
            <w:pPr>
              <w:snapToGrid w:val="0"/>
              <w:ind w:left="-53" w:leftChars="-25" w:right="-53" w:rightChars="-25"/>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生长激素</w:t>
            </w:r>
          </w:p>
        </w:tc>
        <w:tc>
          <w:tcPr>
            <w:tcW w:w="1358" w:type="dxa"/>
            <w:vMerge w:val="restart"/>
            <w:vAlign w:val="center"/>
          </w:tcPr>
          <w:p w14:paraId="30EF48A7">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蛋白质</w:t>
            </w:r>
          </w:p>
        </w:tc>
        <w:tc>
          <w:tcPr>
            <w:tcW w:w="5025" w:type="dxa"/>
            <w:vAlign w:val="center"/>
          </w:tcPr>
          <w:p w14:paraId="5B1BFBF7">
            <w:pPr>
              <w:snapToGrid w:val="0"/>
              <w:spacing w:before="16" w:beforeLines="5"/>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促进</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生长发育</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，主要促进</w:t>
            </w:r>
            <w:r>
              <w:rPr>
                <w:rFonts w:hint="eastAsia" w:ascii="宋体" w:hAnsi="宋体" w:eastAsia="宋体" w:cs="宋体"/>
                <w:color w:val="000000" w:themeColor="text1"/>
                <w:sz w:val="21"/>
                <w:szCs w:val="21"/>
                <w:u w:val="single"/>
                <w14:textFill>
                  <w14:solidFill>
                    <w14:schemeClr w14:val="tx1"/>
                  </w14:solidFill>
                </w14:textFill>
              </w:rPr>
              <w:t>蛋白质</w:t>
            </w:r>
            <w:r>
              <w:rPr>
                <w:rFonts w:hint="eastAsia" w:ascii="宋体" w:hAnsi="宋体" w:eastAsia="宋体" w:cs="宋体"/>
                <w:color w:val="000000" w:themeColor="text1"/>
                <w:sz w:val="21"/>
                <w:szCs w:val="21"/>
                <w14:textFill>
                  <w14:solidFill>
                    <w14:schemeClr w14:val="tx1"/>
                  </w14:solidFill>
                </w14:textFill>
              </w:rPr>
              <w:t>的合成和</w:t>
            </w:r>
            <w:r>
              <w:rPr>
                <w:rFonts w:hint="eastAsia" w:ascii="宋体" w:hAnsi="宋体" w:eastAsia="宋体" w:cs="宋体"/>
                <w:color w:val="000000" w:themeColor="text1"/>
                <w:sz w:val="21"/>
                <w:szCs w:val="21"/>
                <w:u w:val="single"/>
                <w14:textFill>
                  <w14:solidFill>
                    <w14:schemeClr w14:val="tx1"/>
                  </w14:solidFill>
                </w14:textFill>
              </w:rPr>
              <w:t>骨</w:t>
            </w:r>
            <w:r>
              <w:rPr>
                <w:rFonts w:hint="eastAsia" w:ascii="宋体" w:hAnsi="宋体" w:eastAsia="宋体" w:cs="宋体"/>
                <w:color w:val="000000" w:themeColor="text1"/>
                <w:sz w:val="21"/>
                <w:szCs w:val="21"/>
                <w14:textFill>
                  <w14:solidFill>
                    <w14:schemeClr w14:val="tx1"/>
                  </w14:solidFill>
                </w14:textFill>
              </w:rPr>
              <w:t>的生长</w:t>
            </w:r>
          </w:p>
        </w:tc>
      </w:tr>
      <w:tr w14:paraId="3433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Merge w:val="continue"/>
            <w:vAlign w:val="center"/>
          </w:tcPr>
          <w:p w14:paraId="2C1BDD5A">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p>
        </w:tc>
        <w:tc>
          <w:tcPr>
            <w:tcW w:w="1540" w:type="dxa"/>
            <w:vAlign w:val="center"/>
          </w:tcPr>
          <w:p w14:paraId="6063B7FF">
            <w:pPr>
              <w:snapToGrid w:val="0"/>
              <w:ind w:left="-53" w:leftChars="-25" w:right="-53" w:rightChars="-25"/>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促甲状腺激素</w:t>
            </w:r>
          </w:p>
          <w:p w14:paraId="5D667203">
            <w:pPr>
              <w:snapToGrid w:val="0"/>
              <w:ind w:left="-53" w:leftChars="-25" w:right="-53" w:rightChars="-25"/>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(TSH)</w:t>
            </w:r>
          </w:p>
        </w:tc>
        <w:tc>
          <w:tcPr>
            <w:tcW w:w="1358" w:type="dxa"/>
            <w:vMerge w:val="continue"/>
            <w:vAlign w:val="center"/>
          </w:tcPr>
          <w:p w14:paraId="3A0709AB">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p>
        </w:tc>
        <w:tc>
          <w:tcPr>
            <w:tcW w:w="5025" w:type="dxa"/>
            <w:vAlign w:val="center"/>
          </w:tcPr>
          <w:p w14:paraId="20CC5819">
            <w:pPr>
              <w:snapToGrid w:val="0"/>
              <w:spacing w:before="16" w:beforeLines="5"/>
              <w:ind w:left="-53" w:leftChars="-25" w:right="-53" w:rightChars="-25"/>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①促进甲状腺的</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生长发育</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477D39A3">
            <w:pPr>
              <w:snapToGrid w:val="0"/>
              <w:spacing w:before="16" w:beforeLines="5"/>
              <w:ind w:left="-53" w:leftChars="-25" w:right="-53" w:rightChars="-25"/>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②促进甲状腺合成和分泌</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甲状腺激素</w:t>
            </w:r>
            <w:r>
              <w:rPr>
                <w:rFonts w:hint="eastAsia" w:ascii="宋体" w:hAnsi="宋体" w:eastAsia="宋体" w:cs="宋体"/>
                <w:color w:val="000000" w:themeColor="text1"/>
                <w:sz w:val="21"/>
                <w:szCs w:val="21"/>
                <w:u w:val="single"/>
                <w14:textFill>
                  <w14:solidFill>
                    <w14:schemeClr w14:val="tx1"/>
                  </w14:solidFill>
                </w14:textFill>
              </w:rPr>
              <w:t xml:space="preserve"> </w:t>
            </w:r>
          </w:p>
        </w:tc>
      </w:tr>
      <w:tr w14:paraId="40F3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Merge w:val="continue"/>
            <w:vAlign w:val="center"/>
          </w:tcPr>
          <w:p w14:paraId="413271FA">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p>
        </w:tc>
        <w:tc>
          <w:tcPr>
            <w:tcW w:w="1540" w:type="dxa"/>
            <w:vAlign w:val="center"/>
          </w:tcPr>
          <w:p w14:paraId="6DE2AA76">
            <w:pPr>
              <w:snapToGrid w:val="0"/>
              <w:ind w:left="-53" w:leftChars="-25" w:right="-53" w:rightChars="-25"/>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促性腺激素</w:t>
            </w:r>
          </w:p>
        </w:tc>
        <w:tc>
          <w:tcPr>
            <w:tcW w:w="1358" w:type="dxa"/>
            <w:vMerge w:val="continue"/>
            <w:vAlign w:val="center"/>
          </w:tcPr>
          <w:p w14:paraId="617D09A7">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p>
        </w:tc>
        <w:tc>
          <w:tcPr>
            <w:tcW w:w="5025" w:type="dxa"/>
            <w:vAlign w:val="center"/>
          </w:tcPr>
          <w:p w14:paraId="68B70D3A">
            <w:pPr>
              <w:snapToGrid w:val="0"/>
              <w:spacing w:before="16" w:beforeLines="5"/>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①促进性腺的</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生长发育</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34CEAE61">
            <w:pPr>
              <w:snapToGrid w:val="0"/>
              <w:spacing w:before="16" w:beforeLines="5"/>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w:t>
            </w:r>
            <w:r>
              <w:rPr>
                <w:rFonts w:hint="eastAsia" w:ascii="宋体" w:hAnsi="宋体" w:eastAsia="宋体" w:cs="宋体"/>
                <w:color w:val="000000" w:themeColor="text1"/>
                <w:sz w:val="21"/>
                <w:szCs w:val="21"/>
                <w:lang w:val="en-US" w:eastAsia="zh-CN"/>
                <w14:textFill>
                  <w14:solidFill>
                    <w14:schemeClr w14:val="tx1"/>
                  </w14:solidFill>
                </w14:textFill>
              </w:rPr>
              <w:t>促进</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性激素</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的合成和分泌</w:t>
            </w:r>
          </w:p>
        </w:tc>
      </w:tr>
      <w:tr w14:paraId="2E78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Merge w:val="continue"/>
            <w:vAlign w:val="center"/>
          </w:tcPr>
          <w:p w14:paraId="096CFA30">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p>
        </w:tc>
        <w:tc>
          <w:tcPr>
            <w:tcW w:w="1540" w:type="dxa"/>
            <w:vAlign w:val="center"/>
          </w:tcPr>
          <w:p w14:paraId="51411869">
            <w:pPr>
              <w:snapToGrid w:val="0"/>
              <w:ind w:left="-105" w:leftChars="-50" w:right="-105" w:rightChars="-50"/>
              <w:jc w:val="center"/>
              <w:rPr>
                <w:rFonts w:hint="default" w:ascii="宋体" w:hAnsi="宋体" w:eastAsia="宋体" w:cs="宋体"/>
                <w:color w:val="000000" w:themeColor="text1"/>
                <w:sz w:val="21"/>
                <w:szCs w:val="21"/>
                <w:u w:val="none" w:color="auto"/>
                <w:lang w:val="en-US" w:eastAsia="zh-CN"/>
                <w14:textFill>
                  <w14:solidFill>
                    <w14:schemeClr w14:val="tx1"/>
                  </w14:solidFill>
                </w14:textFill>
              </w:rPr>
            </w:pPr>
            <w:r>
              <w:rPr>
                <w:rFonts w:hint="eastAsia" w:ascii="宋体" w:hAnsi="宋体" w:eastAsia="宋体" w:cs="宋体"/>
                <w:color w:val="000000" w:themeColor="text1"/>
                <w:sz w:val="21"/>
                <w:szCs w:val="21"/>
                <w:u w:val="none" w:color="auto"/>
                <w:lang w:val="en-US" w:eastAsia="zh-CN"/>
                <w14:textFill>
                  <w14:solidFill>
                    <w14:schemeClr w14:val="tx1"/>
                  </w14:solidFill>
                </w14:textFill>
              </w:rPr>
              <w:t>促肾上腺皮质激素</w:t>
            </w:r>
          </w:p>
        </w:tc>
        <w:tc>
          <w:tcPr>
            <w:tcW w:w="1358" w:type="dxa"/>
            <w:vAlign w:val="center"/>
          </w:tcPr>
          <w:p w14:paraId="139EDC74">
            <w:pPr>
              <w:snapToGrid w:val="0"/>
              <w:ind w:left="-105" w:leftChars="-50" w:right="-105" w:rightChars="-50"/>
              <w:jc w:val="center"/>
              <w:rPr>
                <w:rFonts w:hint="eastAsia" w:ascii="宋体" w:hAnsi="宋体" w:eastAsia="宋体" w:cs="宋体"/>
                <w:color w:val="000000" w:themeColor="text1"/>
                <w:sz w:val="21"/>
                <w:szCs w:val="21"/>
                <w:u w:val="none" w:color="auto"/>
                <w:lang w:val="en-US" w:eastAsia="zh-CN"/>
                <w14:textFill>
                  <w14:solidFill>
                    <w14:schemeClr w14:val="tx1"/>
                  </w14:solidFill>
                </w14:textFill>
              </w:rPr>
            </w:pPr>
            <w:r>
              <w:rPr>
                <w:rFonts w:hint="eastAsia" w:ascii="宋体" w:hAnsi="宋体" w:eastAsia="宋体" w:cs="宋体"/>
                <w:color w:val="000000" w:themeColor="text1"/>
                <w:sz w:val="21"/>
                <w:szCs w:val="21"/>
                <w:u w:val="none" w:color="auto"/>
                <w:lang w:val="en-US" w:eastAsia="zh-CN"/>
                <w14:textFill>
                  <w14:solidFill>
                    <w14:schemeClr w14:val="tx1"/>
                  </w14:solidFill>
                </w14:textFill>
              </w:rPr>
              <w:t>多肽</w:t>
            </w:r>
          </w:p>
        </w:tc>
        <w:tc>
          <w:tcPr>
            <w:tcW w:w="5025" w:type="dxa"/>
            <w:vAlign w:val="center"/>
          </w:tcPr>
          <w:p w14:paraId="58191290">
            <w:pPr>
              <w:snapToGrid w:val="0"/>
              <w:spacing w:before="16" w:beforeLines="5"/>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①促进</w:t>
            </w:r>
            <w:r>
              <w:rPr>
                <w:rFonts w:hint="eastAsia" w:ascii="宋体" w:hAnsi="宋体" w:eastAsia="宋体" w:cs="宋体"/>
                <w:color w:val="000000" w:themeColor="text1"/>
                <w:sz w:val="21"/>
                <w:szCs w:val="21"/>
                <w:lang w:val="en-US" w:eastAsia="zh-CN"/>
                <w14:textFill>
                  <w14:solidFill>
                    <w14:schemeClr w14:val="tx1"/>
                  </w14:solidFill>
                </w14:textFill>
              </w:rPr>
              <w:t>肾上</w:t>
            </w:r>
            <w:r>
              <w:rPr>
                <w:rFonts w:hint="eastAsia" w:ascii="宋体" w:hAnsi="宋体" w:eastAsia="宋体" w:cs="宋体"/>
                <w:color w:val="000000" w:themeColor="text1"/>
                <w:sz w:val="21"/>
                <w:szCs w:val="21"/>
                <w14:textFill>
                  <w14:solidFill>
                    <w14:schemeClr w14:val="tx1"/>
                  </w14:solidFill>
                </w14:textFill>
              </w:rPr>
              <w:t>腺</w:t>
            </w:r>
            <w:r>
              <w:rPr>
                <w:rFonts w:hint="eastAsia" w:ascii="宋体" w:hAnsi="宋体" w:eastAsia="宋体" w:cs="宋体"/>
                <w:color w:val="000000" w:themeColor="text1"/>
                <w:sz w:val="21"/>
                <w:szCs w:val="21"/>
                <w:lang w:val="en-US" w:eastAsia="zh-CN"/>
                <w14:textFill>
                  <w14:solidFill>
                    <w14:schemeClr w14:val="tx1"/>
                  </w14:solidFill>
                </w14:textFill>
              </w:rPr>
              <w:t>皮质</w:t>
            </w:r>
            <w:r>
              <w:rPr>
                <w:rFonts w:hint="eastAsia" w:ascii="宋体" w:hAnsi="宋体" w:eastAsia="宋体" w:cs="宋体"/>
                <w:color w:val="000000" w:themeColor="text1"/>
                <w:sz w:val="21"/>
                <w:szCs w:val="21"/>
                <w14:textFill>
                  <w14:solidFill>
                    <w14:schemeClr w14:val="tx1"/>
                  </w14:solidFill>
                </w14:textFill>
              </w:rPr>
              <w:t>的</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生长发育</w:t>
            </w:r>
            <w:r>
              <w:rPr>
                <w:rFonts w:hint="eastAsia" w:ascii="宋体" w:hAnsi="宋体" w:eastAsia="宋体" w:cs="宋体"/>
                <w:color w:val="000000" w:themeColor="text1"/>
                <w:sz w:val="21"/>
                <w:szCs w:val="21"/>
                <w:u w:val="single"/>
                <w14:textFill>
                  <w14:solidFill>
                    <w14:schemeClr w14:val="tx1"/>
                  </w14:solidFill>
                </w14:textFill>
              </w:rPr>
              <w:t xml:space="preserve"> </w:t>
            </w:r>
          </w:p>
          <w:p w14:paraId="2E1F4833">
            <w:pPr>
              <w:snapToGrid w:val="0"/>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w:t>
            </w:r>
            <w:r>
              <w:rPr>
                <w:rFonts w:hint="eastAsia" w:ascii="宋体" w:hAnsi="宋体" w:eastAsia="宋体" w:cs="宋体"/>
                <w:color w:val="000000" w:themeColor="text1"/>
                <w:sz w:val="21"/>
                <w:szCs w:val="21"/>
                <w:lang w:val="en-US" w:eastAsia="zh-CN"/>
                <w14:textFill>
                  <w14:solidFill>
                    <w14:schemeClr w14:val="tx1"/>
                  </w14:solidFill>
                </w14:textFill>
              </w:rPr>
              <w:t>促进</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肾上腺皮质</w:t>
            </w:r>
            <w:r>
              <w:rPr>
                <w:rFonts w:hint="eastAsia" w:ascii="宋体" w:hAnsi="宋体" w:eastAsia="宋体" w:cs="宋体"/>
                <w:color w:val="000000" w:themeColor="text1"/>
                <w:sz w:val="21"/>
                <w:szCs w:val="21"/>
                <w:u w:val="single" w:color="000000"/>
                <w14:textFill>
                  <w14:solidFill>
                    <w14:schemeClr w14:val="tx1"/>
                  </w14:solidFill>
                </w14:textFill>
              </w:rPr>
              <w:t>激素</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的合成和分泌</w:t>
            </w:r>
          </w:p>
        </w:tc>
      </w:tr>
      <w:tr w14:paraId="0877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Align w:val="center"/>
          </w:tcPr>
          <w:p w14:paraId="305CB1AA">
            <w:pPr>
              <w:snapToGrid w:val="0"/>
              <w:ind w:left="-53" w:leftChars="-25" w:right="-53" w:rightChars="-25"/>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甲状腺</w:t>
            </w:r>
          </w:p>
        </w:tc>
        <w:tc>
          <w:tcPr>
            <w:tcW w:w="1540" w:type="dxa"/>
            <w:vAlign w:val="center"/>
          </w:tcPr>
          <w:p w14:paraId="13B7FCB6">
            <w:pPr>
              <w:snapToGrid w:val="0"/>
              <w:ind w:left="-53" w:leftChars="-25" w:right="-53" w:rightChars="-25"/>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甲状腺激素</w:t>
            </w:r>
          </w:p>
        </w:tc>
        <w:tc>
          <w:tcPr>
            <w:tcW w:w="1358" w:type="dxa"/>
            <w:vAlign w:val="center"/>
          </w:tcPr>
          <w:p w14:paraId="0C20D27E">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含碘氨基酸</w:t>
            </w:r>
          </w:p>
          <w:p w14:paraId="4224F811">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衍生物</w:t>
            </w:r>
          </w:p>
        </w:tc>
        <w:tc>
          <w:tcPr>
            <w:tcW w:w="5025" w:type="dxa"/>
            <w:vAlign w:val="center"/>
          </w:tcPr>
          <w:p w14:paraId="4DE7C7FD">
            <w:pPr>
              <w:snapToGrid w:val="0"/>
              <w:spacing w:before="16" w:beforeLines="5"/>
              <w:ind w:left="-53" w:leftChars="-25" w:right="-53" w:rightChars="-25"/>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①促进</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生长发育</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；②提高神经系统的</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兴奋性</w:t>
            </w:r>
            <w:r>
              <w:rPr>
                <w:rFonts w:hint="eastAsia" w:ascii="宋体" w:hAnsi="宋体" w:eastAsia="宋体" w:cs="宋体"/>
                <w:color w:val="000000" w:themeColor="text1"/>
                <w:sz w:val="21"/>
                <w:szCs w:val="21"/>
                <w:u w:val="single"/>
                <w:lang w:eastAsia="zh-CN"/>
                <w14:textFill>
                  <w14:solidFill>
                    <w14:schemeClr w14:val="tx1"/>
                  </w14:solidFill>
                </w14:textFill>
              </w:rPr>
              <w:t>（</w:t>
            </w:r>
            <w:r>
              <w:rPr>
                <w:rFonts w:hint="eastAsia" w:ascii="宋体" w:hAnsi="宋体" w:eastAsia="宋体" w:cs="宋体"/>
                <w:bCs/>
                <w:color w:val="000000" w:themeColor="text1"/>
                <w:sz w:val="21"/>
                <w:szCs w:val="21"/>
                <w:u w:val="none" w:color="auto"/>
                <w14:textFill>
                  <w14:solidFill>
                    <w14:schemeClr w14:val="tx1"/>
                  </w14:solidFill>
                </w14:textFill>
              </w:rPr>
              <w:t xml:space="preserve">对  </w:t>
            </w:r>
            <w:r>
              <w:rPr>
                <w:rFonts w:hint="eastAsia" w:ascii="宋体" w:hAnsi="宋体" w:eastAsia="宋体" w:cs="宋体"/>
                <w:color w:val="000000" w:themeColor="text1"/>
                <w:sz w:val="21"/>
                <w:szCs w:val="21"/>
                <w:u w:val="none" w:color="auto"/>
                <w14:textFill>
                  <w14:solidFill>
                    <w14:schemeClr w14:val="tx1"/>
                  </w14:solidFill>
                </w14:textFill>
              </w:rPr>
              <w:t>中枢神经系统</w:t>
            </w:r>
            <w:r>
              <w:rPr>
                <w:rFonts w:hint="eastAsia" w:ascii="宋体" w:hAnsi="宋体" w:eastAsia="宋体" w:cs="宋体"/>
                <w:bCs/>
                <w:color w:val="000000" w:themeColor="text1"/>
                <w:sz w:val="21"/>
                <w:szCs w:val="21"/>
                <w:u w:val="none" w:color="auto"/>
                <w14:textFill>
                  <w14:solidFill>
                    <w14:schemeClr w14:val="tx1"/>
                  </w14:solidFill>
                </w14:textFill>
              </w:rPr>
              <w:t>的发育和功能具有重要影响</w:t>
            </w:r>
            <w:r>
              <w:rPr>
                <w:rFonts w:hint="eastAsia" w:ascii="宋体" w:hAnsi="宋体" w:eastAsia="宋体" w:cs="宋体"/>
                <w:color w:val="000000" w:themeColor="text1"/>
                <w:sz w:val="21"/>
                <w:szCs w:val="21"/>
                <w:u w:val="none" w:color="auto"/>
                <w:lang w:eastAsia="zh-CN"/>
                <w14:textFill>
                  <w14:solidFill>
                    <w14:schemeClr w14:val="tx1"/>
                  </w14:solidFill>
                </w14:textFill>
              </w:rPr>
              <w:t>）</w:t>
            </w:r>
          </w:p>
          <w:p w14:paraId="1D249242">
            <w:pPr>
              <w:snapToGrid w:val="0"/>
              <w:spacing w:before="16" w:beforeLines="5"/>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③提高(促进)</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细胞代谢</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的速率，增加</w:t>
            </w:r>
            <w:r>
              <w:rPr>
                <w:rFonts w:hint="eastAsia" w:ascii="宋体" w:hAnsi="宋体" w:eastAsia="宋体" w:cs="宋体"/>
                <w:color w:val="000000" w:themeColor="text1"/>
                <w:sz w:val="21"/>
                <w:szCs w:val="21"/>
                <w:u w:val="single" w:color="000000"/>
                <w14:textFill>
                  <w14:solidFill>
                    <w14:schemeClr w14:val="tx1"/>
                  </w14:solidFill>
                </w14:textFill>
              </w:rPr>
              <w:t xml:space="preserve">  产热  </w:t>
            </w:r>
          </w:p>
        </w:tc>
      </w:tr>
      <w:tr w14:paraId="62FE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Align w:val="center"/>
          </w:tcPr>
          <w:p w14:paraId="6A52AEF3">
            <w:pPr>
              <w:snapToGrid w:val="0"/>
              <w:ind w:left="-105" w:leftChars="-50" w:right="-105" w:rightChars="-5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肾上腺(髓质)</w:t>
            </w:r>
          </w:p>
        </w:tc>
        <w:tc>
          <w:tcPr>
            <w:tcW w:w="1540" w:type="dxa"/>
            <w:vAlign w:val="center"/>
          </w:tcPr>
          <w:p w14:paraId="3542EDDA">
            <w:pPr>
              <w:snapToGrid w:val="0"/>
              <w:ind w:left="-53" w:leftChars="-25" w:right="-53" w:rightChars="-25"/>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肾上腺素</w:t>
            </w:r>
          </w:p>
        </w:tc>
        <w:tc>
          <w:tcPr>
            <w:tcW w:w="1358" w:type="dxa"/>
            <w:vAlign w:val="center"/>
          </w:tcPr>
          <w:p w14:paraId="7417232B">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氨基酸衍生物</w:t>
            </w:r>
          </w:p>
        </w:tc>
        <w:tc>
          <w:tcPr>
            <w:tcW w:w="5025" w:type="dxa"/>
            <w:vAlign w:val="center"/>
          </w:tcPr>
          <w:p w14:paraId="4C12A58E">
            <w:pPr>
              <w:snapToGrid w:val="0"/>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①促进</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肝糖原分解和非糖物质转化</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，使血糖升高</w:t>
            </w:r>
          </w:p>
          <w:p w14:paraId="21D66F39">
            <w:pPr>
              <w:snapToGrid w:val="0"/>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②提高(促进)</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细胞代谢</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的速率，增加</w:t>
            </w:r>
            <w:r>
              <w:rPr>
                <w:rFonts w:hint="eastAsia" w:ascii="宋体" w:hAnsi="宋体" w:eastAsia="宋体" w:cs="宋体"/>
                <w:color w:val="000000" w:themeColor="text1"/>
                <w:sz w:val="21"/>
                <w:szCs w:val="21"/>
                <w:u w:val="single" w:color="000000"/>
                <w14:textFill>
                  <w14:solidFill>
                    <w14:schemeClr w14:val="tx1"/>
                  </w14:solidFill>
                </w14:textFill>
              </w:rPr>
              <w:t xml:space="preserve">  产热  </w:t>
            </w:r>
          </w:p>
        </w:tc>
      </w:tr>
      <w:tr w14:paraId="13982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1" w:type="dxa"/>
            <w:gridSpan w:val="2"/>
            <w:vAlign w:val="center"/>
          </w:tcPr>
          <w:p w14:paraId="62E89975">
            <w:pPr>
              <w:snapToGrid w:val="0"/>
              <w:ind w:left="-105" w:leftChars="-50" w:right="-105" w:rightChars="-5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肾上腺(</w:t>
            </w:r>
            <w:r>
              <w:rPr>
                <w:rFonts w:hint="eastAsia" w:ascii="宋体" w:hAnsi="宋体" w:eastAsia="宋体" w:cs="宋体"/>
                <w:color w:val="000000" w:themeColor="text1"/>
                <w:sz w:val="21"/>
                <w:szCs w:val="21"/>
                <w:lang w:val="en-US" w:eastAsia="zh-CN"/>
                <w14:textFill>
                  <w14:solidFill>
                    <w14:schemeClr w14:val="tx1"/>
                  </w14:solidFill>
                </w14:textFill>
              </w:rPr>
              <w:t>皮</w:t>
            </w:r>
            <w:r>
              <w:rPr>
                <w:rFonts w:hint="eastAsia" w:ascii="宋体" w:hAnsi="宋体" w:eastAsia="宋体" w:cs="宋体"/>
                <w:color w:val="000000" w:themeColor="text1"/>
                <w:sz w:val="21"/>
                <w:szCs w:val="21"/>
                <w14:textFill>
                  <w14:solidFill>
                    <w14:schemeClr w14:val="tx1"/>
                  </w14:solidFill>
                </w14:textFill>
              </w:rPr>
              <w:t>质)</w:t>
            </w:r>
          </w:p>
        </w:tc>
        <w:tc>
          <w:tcPr>
            <w:tcW w:w="1540" w:type="dxa"/>
            <w:vAlign w:val="center"/>
          </w:tcPr>
          <w:p w14:paraId="2F905E76">
            <w:pPr>
              <w:snapToGrid w:val="0"/>
              <w:ind w:left="-53" w:leftChars="-25" w:right="-53" w:rightChars="-25"/>
              <w:jc w:val="center"/>
              <w:rPr>
                <w:rFonts w:hint="default" w:ascii="宋体" w:hAnsi="宋体" w:eastAsia="宋体" w:cs="宋体"/>
                <w:color w:val="000000" w:themeColor="text1"/>
                <w:sz w:val="21"/>
                <w:szCs w:val="21"/>
                <w:u w:val="none" w:color="auto"/>
                <w:lang w:val="en-US" w:eastAsia="zh-CN"/>
                <w14:textFill>
                  <w14:solidFill>
                    <w14:schemeClr w14:val="tx1"/>
                  </w14:solidFill>
                </w14:textFill>
              </w:rPr>
            </w:pPr>
            <w:r>
              <w:rPr>
                <w:rFonts w:hint="eastAsia" w:asciiTheme="minorEastAsia" w:hAnsiTheme="minorEastAsia" w:eastAsiaTheme="minorEastAsia"/>
                <w:color w:val="auto"/>
                <w:sz w:val="21"/>
                <w:szCs w:val="21"/>
              </w:rPr>
              <w:t>醛固酮、皮质醇</w:t>
            </w:r>
          </w:p>
        </w:tc>
        <w:tc>
          <w:tcPr>
            <w:tcW w:w="1358" w:type="dxa"/>
            <w:vAlign w:val="center"/>
          </w:tcPr>
          <w:p w14:paraId="11C4E11D">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固醇</w:t>
            </w:r>
          </w:p>
        </w:tc>
        <w:tc>
          <w:tcPr>
            <w:tcW w:w="5025" w:type="dxa"/>
            <w:vAlign w:val="center"/>
          </w:tcPr>
          <w:p w14:paraId="02036CA6">
            <w:pPr>
              <w:snapToGrid w:val="0"/>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default" w:ascii="宋体" w:hAnsi="宋体" w:eastAsia="宋体" w:cs="宋体"/>
                <w:color w:val="000000" w:themeColor="text1"/>
                <w:sz w:val="21"/>
                <w:szCs w:val="21"/>
                <w:lang w:val="en-US"/>
                <w14:textFill>
                  <w14:solidFill>
                    <w14:schemeClr w14:val="tx1"/>
                  </w14:solidFill>
                </w14:textFill>
              </w:rPr>
              <w:t>促进</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u w:val="single" w:color="000000"/>
                <w:lang w:val="en-US"/>
                <w14:textFill>
                  <w14:solidFill>
                    <w14:schemeClr w14:val="tx1"/>
                  </w14:solidFill>
                </w14:textFill>
              </w:rPr>
              <w:t>肾小管</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lang w:val="en-US"/>
                <w14:textFill>
                  <w14:solidFill>
                    <w14:schemeClr w14:val="tx1"/>
                  </w14:solidFill>
                </w14:textFill>
              </w:rPr>
              <w:t>、</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u w:val="single" w:color="000000"/>
                <w:lang w:val="en-US"/>
                <w14:textFill>
                  <w14:solidFill>
                    <w14:schemeClr w14:val="tx1"/>
                  </w14:solidFill>
                </w14:textFill>
              </w:rPr>
              <w:t>集合管</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lang w:val="en-US"/>
                <w14:textFill>
                  <w14:solidFill>
                    <w14:schemeClr w14:val="tx1"/>
                  </w14:solidFill>
                </w14:textFill>
              </w:rPr>
              <w:t>对</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eastAsia" w:ascii="宋体" w:hAnsi="宋体" w:eastAsia="宋体" w:cs="宋体"/>
                <w:color w:val="000000" w:themeColor="text1"/>
                <w:sz w:val="21"/>
                <w:szCs w:val="21"/>
                <w:u w:val="single" w:color="000000"/>
                <w:lang w:val="en-US" w:eastAsia="zh-CN"/>
                <w14:textFill>
                  <w14:solidFill>
                    <w14:schemeClr w14:val="tx1"/>
                  </w14:solidFill>
                </w14:textFill>
              </w:rPr>
              <w:t>Na</w:t>
            </w:r>
            <w:r>
              <w:rPr>
                <w:rFonts w:hint="eastAsia" w:ascii="宋体" w:hAnsi="宋体" w:eastAsia="宋体" w:cs="宋体"/>
                <w:color w:val="000000" w:themeColor="text1"/>
                <w:sz w:val="21"/>
                <w:szCs w:val="21"/>
                <w:u w:val="single" w:color="000000"/>
                <w:vertAlign w:val="superscript"/>
                <w:lang w:val="en-US" w:eastAsia="zh-CN"/>
                <w14:textFill>
                  <w14:solidFill>
                    <w14:schemeClr w14:val="tx1"/>
                  </w14:solidFill>
                </w14:textFill>
              </w:rPr>
              <w:t>+</w:t>
            </w:r>
            <w:r>
              <w:rPr>
                <w:rFonts w:hint="default" w:ascii="宋体" w:hAnsi="宋体" w:eastAsia="宋体" w:cs="宋体"/>
                <w:color w:val="000000" w:themeColor="text1"/>
                <w:sz w:val="21"/>
                <w:szCs w:val="21"/>
                <w:u w:val="single"/>
                <w:lang w:val="en-US"/>
                <w14:textFill>
                  <w14:solidFill>
                    <w14:schemeClr w14:val="tx1"/>
                  </w14:solidFill>
                </w14:textFill>
              </w:rPr>
              <w:t xml:space="preserve"> </w:t>
            </w:r>
            <w:r>
              <w:rPr>
                <w:rFonts w:hint="default" w:ascii="宋体" w:hAnsi="宋体" w:eastAsia="宋体" w:cs="宋体"/>
                <w:color w:val="000000" w:themeColor="text1"/>
                <w:sz w:val="21"/>
                <w:szCs w:val="21"/>
                <w:lang w:val="en-US"/>
                <w14:textFill>
                  <w14:solidFill>
                    <w14:schemeClr w14:val="tx1"/>
                  </w14:solidFill>
                </w14:textFill>
              </w:rPr>
              <w:t>的重吸收</w:t>
            </w:r>
          </w:p>
        </w:tc>
      </w:tr>
      <w:tr w14:paraId="00A6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1" w:type="dxa"/>
            <w:vMerge w:val="restart"/>
            <w:vAlign w:val="center"/>
          </w:tcPr>
          <w:p w14:paraId="137B9C84">
            <w:pPr>
              <w:snapToGrid w:val="0"/>
              <w:ind w:left="-105" w:leftChars="-50" w:right="-105" w:rightChars="-5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胰</w:t>
            </w:r>
          </w:p>
          <w:p w14:paraId="5C0808C3">
            <w:pPr>
              <w:snapToGrid w:val="0"/>
              <w:ind w:left="-105" w:leftChars="-50" w:right="-105" w:rightChars="-5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腺</w:t>
            </w:r>
          </w:p>
        </w:tc>
        <w:tc>
          <w:tcPr>
            <w:tcW w:w="1120" w:type="dxa"/>
            <w:vAlign w:val="center"/>
          </w:tcPr>
          <w:p w14:paraId="67BCFAFA">
            <w:pPr>
              <w:snapToGrid w:val="0"/>
              <w:ind w:left="-105" w:leftChars="-50" w:right="-105" w:rightChars="-50"/>
              <w:jc w:val="center"/>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胰岛A细胞</w:t>
            </w:r>
          </w:p>
        </w:tc>
        <w:tc>
          <w:tcPr>
            <w:tcW w:w="1540" w:type="dxa"/>
            <w:vAlign w:val="center"/>
          </w:tcPr>
          <w:p w14:paraId="65288F63">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胰高血糖素</w:t>
            </w:r>
          </w:p>
        </w:tc>
        <w:tc>
          <w:tcPr>
            <w:tcW w:w="1358" w:type="dxa"/>
            <w:vAlign w:val="center"/>
          </w:tcPr>
          <w:p w14:paraId="2B8D8659">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多肽</w:t>
            </w:r>
          </w:p>
        </w:tc>
        <w:tc>
          <w:tcPr>
            <w:tcW w:w="5025" w:type="dxa"/>
            <w:vAlign w:val="center"/>
          </w:tcPr>
          <w:p w14:paraId="7526F0CA">
            <w:pPr>
              <w:snapToGrid w:val="0"/>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升高</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(升高/降低)血糖</w:t>
            </w:r>
          </w:p>
        </w:tc>
      </w:tr>
      <w:tr w14:paraId="2269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1" w:type="dxa"/>
            <w:vMerge w:val="continue"/>
            <w:vAlign w:val="center"/>
          </w:tcPr>
          <w:p w14:paraId="3B8FB3AA">
            <w:pPr>
              <w:snapToGrid w:val="0"/>
              <w:ind w:left="-105" w:leftChars="-50" w:right="-105" w:rightChars="-50"/>
              <w:jc w:val="center"/>
              <w:rPr>
                <w:rFonts w:hint="eastAsia" w:ascii="宋体" w:hAnsi="宋体" w:eastAsia="宋体" w:cs="宋体"/>
                <w:color w:val="000000" w:themeColor="text1"/>
                <w:sz w:val="21"/>
                <w:szCs w:val="21"/>
                <w14:textFill>
                  <w14:solidFill>
                    <w14:schemeClr w14:val="tx1"/>
                  </w14:solidFill>
                </w14:textFill>
              </w:rPr>
            </w:pPr>
          </w:p>
        </w:tc>
        <w:tc>
          <w:tcPr>
            <w:tcW w:w="1120" w:type="dxa"/>
            <w:vAlign w:val="center"/>
          </w:tcPr>
          <w:p w14:paraId="0126D51D">
            <w:pPr>
              <w:snapToGrid w:val="0"/>
              <w:ind w:left="-105" w:leftChars="-50" w:right="-105" w:rightChars="-50"/>
              <w:jc w:val="center"/>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胰岛B细胞</w:t>
            </w:r>
          </w:p>
        </w:tc>
        <w:tc>
          <w:tcPr>
            <w:tcW w:w="1540" w:type="dxa"/>
            <w:vAlign w:val="center"/>
          </w:tcPr>
          <w:p w14:paraId="5B4E652D">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胰岛素</w:t>
            </w:r>
          </w:p>
        </w:tc>
        <w:tc>
          <w:tcPr>
            <w:tcW w:w="1358" w:type="dxa"/>
            <w:vAlign w:val="center"/>
          </w:tcPr>
          <w:p w14:paraId="2CE19866">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蛋白质</w:t>
            </w:r>
          </w:p>
        </w:tc>
        <w:tc>
          <w:tcPr>
            <w:tcW w:w="5025" w:type="dxa"/>
            <w:tcBorders>
              <w:bottom w:val="single" w:color="auto" w:sz="4" w:space="0"/>
            </w:tcBorders>
            <w:vAlign w:val="center"/>
          </w:tcPr>
          <w:p w14:paraId="4F309006">
            <w:pPr>
              <w:snapToGrid w:val="0"/>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降低</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(升高/降低)血糖</w:t>
            </w:r>
          </w:p>
        </w:tc>
      </w:tr>
      <w:tr w14:paraId="1CF84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1" w:type="dxa"/>
            <w:vMerge w:val="restart"/>
            <w:vAlign w:val="center"/>
          </w:tcPr>
          <w:p w14:paraId="7BDBB652">
            <w:pPr>
              <w:snapToGrid w:val="0"/>
              <w:ind w:left="-105" w:leftChars="-50" w:right="-105" w:rightChars="-50"/>
              <w:jc w:val="center"/>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性腺</w:t>
            </w:r>
          </w:p>
        </w:tc>
        <w:tc>
          <w:tcPr>
            <w:tcW w:w="1120" w:type="dxa"/>
            <w:vAlign w:val="center"/>
          </w:tcPr>
          <w:p w14:paraId="495439CD">
            <w:pPr>
              <w:snapToGrid w:val="0"/>
              <w:ind w:left="-105" w:leftChars="-50" w:right="-105" w:rightChars="-5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睾丸(雄)</w:t>
            </w:r>
          </w:p>
        </w:tc>
        <w:tc>
          <w:tcPr>
            <w:tcW w:w="1540" w:type="dxa"/>
            <w:vAlign w:val="center"/>
          </w:tcPr>
          <w:p w14:paraId="0CD51CC5">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雄性激素</w:t>
            </w:r>
          </w:p>
        </w:tc>
        <w:tc>
          <w:tcPr>
            <w:tcW w:w="1358" w:type="dxa"/>
            <w:vMerge w:val="restart"/>
            <w:vAlign w:val="center"/>
          </w:tcPr>
          <w:p w14:paraId="15445D5B">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固醇</w:t>
            </w:r>
          </w:p>
        </w:tc>
        <w:tc>
          <w:tcPr>
            <w:tcW w:w="5025" w:type="dxa"/>
            <w:vMerge w:val="restart"/>
            <w:vAlign w:val="center"/>
          </w:tcPr>
          <w:p w14:paraId="5FACA4D1">
            <w:pPr>
              <w:snapToGrid w:val="0"/>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①分别促进雌、雄</w:t>
            </w:r>
            <w:r>
              <w:rPr>
                <w:rFonts w:hint="eastAsia" w:ascii="宋体" w:hAnsi="宋体" w:eastAsia="宋体" w:cs="宋体"/>
                <w:color w:val="000000" w:themeColor="text1"/>
                <w:sz w:val="21"/>
                <w:szCs w:val="21"/>
                <w:u w:val="single"/>
                <w14:textFill>
                  <w14:solidFill>
                    <w14:schemeClr w14:val="tx1"/>
                  </w14:solidFill>
                </w14:textFill>
              </w:rPr>
              <w:t>生殖器官</w:t>
            </w:r>
            <w:r>
              <w:rPr>
                <w:rFonts w:hint="eastAsia" w:ascii="宋体" w:hAnsi="宋体" w:eastAsia="宋体" w:cs="宋体"/>
                <w:color w:val="000000" w:themeColor="text1"/>
                <w:sz w:val="21"/>
                <w:szCs w:val="21"/>
                <w14:textFill>
                  <w14:solidFill>
                    <w14:schemeClr w14:val="tx1"/>
                  </w14:solidFill>
                </w14:textFill>
              </w:rPr>
              <w:t>的发育和</w:t>
            </w:r>
            <w:r>
              <w:rPr>
                <w:rFonts w:hint="eastAsia" w:ascii="宋体" w:hAnsi="宋体" w:eastAsia="宋体" w:cs="宋体"/>
                <w:color w:val="000000" w:themeColor="text1"/>
                <w:sz w:val="21"/>
                <w:szCs w:val="21"/>
                <w:u w:val="single"/>
                <w14:textFill>
                  <w14:solidFill>
                    <w14:schemeClr w14:val="tx1"/>
                  </w14:solidFill>
                </w14:textFill>
              </w:rPr>
              <w:t>生殖细胞</w:t>
            </w:r>
            <w:r>
              <w:rPr>
                <w:rFonts w:hint="eastAsia" w:ascii="宋体" w:hAnsi="宋体" w:eastAsia="宋体" w:cs="宋体"/>
                <w:color w:val="000000" w:themeColor="text1"/>
                <w:sz w:val="21"/>
                <w:szCs w:val="21"/>
                <w14:textFill>
                  <w14:solidFill>
                    <w14:schemeClr w14:val="tx1"/>
                  </w14:solidFill>
                </w14:textFill>
              </w:rPr>
              <w:t>的形成</w:t>
            </w:r>
          </w:p>
          <w:p w14:paraId="785981FC">
            <w:pPr>
              <w:snapToGrid w:val="0"/>
              <w:ind w:left="-53" w:leftChars="-25" w:right="-53" w:rightChars="-2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②激发并维持各自的</w:t>
            </w:r>
            <w:r>
              <w:rPr>
                <w:rFonts w:hint="eastAsia" w:ascii="宋体" w:hAnsi="宋体" w:eastAsia="宋体" w:cs="宋体"/>
                <w:color w:val="000000" w:themeColor="text1"/>
                <w:sz w:val="21"/>
                <w:szCs w:val="21"/>
                <w:u w:val="single"/>
                <w14:textFill>
                  <w14:solidFill>
                    <w14:schemeClr w14:val="tx1"/>
                  </w14:solidFill>
                </w14:textFill>
              </w:rPr>
              <w:t>第二性征</w:t>
            </w:r>
          </w:p>
          <w:p w14:paraId="04354815">
            <w:pPr>
              <w:snapToGrid w:val="0"/>
              <w:ind w:left="-53" w:leftChars="-25" w:right="-53" w:rightChars="-25"/>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③雌性激素还能激发和维持雌性正常的</w:t>
            </w:r>
            <w:r>
              <w:rPr>
                <w:rFonts w:hint="eastAsia" w:ascii="宋体" w:hAnsi="宋体" w:eastAsia="宋体" w:cs="宋体"/>
                <w:color w:val="000000" w:themeColor="text1"/>
                <w:sz w:val="21"/>
                <w:szCs w:val="21"/>
                <w:u w:val="single"/>
                <w14:textFill>
                  <w14:solidFill>
                    <w14:schemeClr w14:val="tx1"/>
                  </w14:solidFill>
                </w14:textFill>
              </w:rPr>
              <w:t>性周期</w:t>
            </w:r>
          </w:p>
        </w:tc>
      </w:tr>
      <w:tr w14:paraId="01D3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1" w:type="dxa"/>
            <w:vMerge w:val="continue"/>
            <w:vAlign w:val="center"/>
          </w:tcPr>
          <w:p w14:paraId="2F8F5695">
            <w:pPr>
              <w:snapToGrid w:val="0"/>
              <w:ind w:left="-53" w:leftChars="-25" w:right="-53" w:rightChars="-25"/>
              <w:jc w:val="center"/>
              <w:rPr>
                <w:rFonts w:hint="eastAsia" w:ascii="宋体" w:hAnsi="宋体" w:eastAsia="宋体" w:cs="宋体"/>
                <w:color w:val="000000" w:themeColor="text1"/>
                <w:spacing w:val="-8"/>
                <w:sz w:val="21"/>
                <w:szCs w:val="21"/>
                <w14:textFill>
                  <w14:solidFill>
                    <w14:schemeClr w14:val="tx1"/>
                  </w14:solidFill>
                </w14:textFill>
              </w:rPr>
            </w:pPr>
          </w:p>
        </w:tc>
        <w:tc>
          <w:tcPr>
            <w:tcW w:w="1120" w:type="dxa"/>
            <w:vAlign w:val="center"/>
          </w:tcPr>
          <w:p w14:paraId="5420F174">
            <w:pPr>
              <w:snapToGrid w:val="0"/>
              <w:ind w:left="-105" w:leftChars="-50" w:right="-105" w:rightChars="-5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卵巢(雌)</w:t>
            </w:r>
          </w:p>
        </w:tc>
        <w:tc>
          <w:tcPr>
            <w:tcW w:w="1540" w:type="dxa"/>
            <w:vAlign w:val="center"/>
          </w:tcPr>
          <w:p w14:paraId="004051D8">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r>
              <w:rPr>
                <w:rFonts w:hint="eastAsia" w:ascii="宋体" w:hAnsi="宋体" w:eastAsia="宋体" w:cs="宋体"/>
                <w:color w:val="000000" w:themeColor="text1"/>
                <w:sz w:val="21"/>
                <w:szCs w:val="21"/>
                <w:u w:val="none" w:color="auto"/>
                <w14:textFill>
                  <w14:solidFill>
                    <w14:schemeClr w14:val="tx1"/>
                  </w14:solidFill>
                </w14:textFill>
              </w:rPr>
              <w:t>雌性激素</w:t>
            </w:r>
          </w:p>
        </w:tc>
        <w:tc>
          <w:tcPr>
            <w:tcW w:w="1358" w:type="dxa"/>
            <w:vMerge w:val="continue"/>
            <w:vAlign w:val="center"/>
          </w:tcPr>
          <w:p w14:paraId="39407483">
            <w:pPr>
              <w:snapToGrid w:val="0"/>
              <w:ind w:left="-105" w:leftChars="-50" w:right="-105" w:rightChars="-50"/>
              <w:jc w:val="center"/>
              <w:rPr>
                <w:rFonts w:hint="eastAsia" w:ascii="宋体" w:hAnsi="宋体" w:eastAsia="宋体" w:cs="宋体"/>
                <w:color w:val="000000" w:themeColor="text1"/>
                <w:sz w:val="21"/>
                <w:szCs w:val="21"/>
                <w:u w:val="none" w:color="auto"/>
                <w14:textFill>
                  <w14:solidFill>
                    <w14:schemeClr w14:val="tx1"/>
                  </w14:solidFill>
                </w14:textFill>
              </w:rPr>
            </w:pPr>
          </w:p>
        </w:tc>
        <w:tc>
          <w:tcPr>
            <w:tcW w:w="5025" w:type="dxa"/>
            <w:vMerge w:val="continue"/>
            <w:vAlign w:val="center"/>
          </w:tcPr>
          <w:p w14:paraId="44AEBD86">
            <w:pPr>
              <w:snapToGrid w:val="0"/>
              <w:ind w:left="-53" w:leftChars="-25" w:right="-53" w:rightChars="-25"/>
              <w:rPr>
                <w:rFonts w:hint="eastAsia" w:ascii="宋体" w:hAnsi="宋体" w:eastAsia="宋体" w:cs="宋体"/>
                <w:color w:val="000000" w:themeColor="text1"/>
                <w:sz w:val="21"/>
                <w:szCs w:val="21"/>
                <w:u w:val="single"/>
                <w14:textFill>
                  <w14:solidFill>
                    <w14:schemeClr w14:val="tx1"/>
                  </w14:solidFill>
                </w14:textFill>
              </w:rPr>
            </w:pPr>
          </w:p>
        </w:tc>
      </w:tr>
    </w:tbl>
    <w:p w14:paraId="705EB42C">
      <w:pPr>
        <w:spacing w:line="340" w:lineRule="exac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备注：</w:t>
      </w:r>
    </w:p>
    <w:p w14:paraId="6EB3844C">
      <w:pPr>
        <w:spacing w:line="34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多肽类和蛋白质类激素只能</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注射，不能口服</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，因为</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口服会被消化酶分解而失效</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；固醇类和氨基酸衍生物类激素</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 xml:space="preserve">既能注射，也能口服 </w:t>
      </w:r>
      <w:r>
        <w:rPr>
          <w:rFonts w:hint="eastAsia" w:ascii="宋体" w:hAnsi="宋体" w:eastAsia="宋体" w:cs="宋体"/>
          <w:color w:val="000000" w:themeColor="text1"/>
          <w:sz w:val="21"/>
          <w:szCs w:val="21"/>
          <w14:textFill>
            <w14:solidFill>
              <w14:schemeClr w14:val="tx1"/>
            </w14:solidFill>
          </w14:textFill>
        </w:rPr>
        <w:t>。</w:t>
      </w:r>
    </w:p>
    <w:p w14:paraId="0670E163">
      <w:pPr>
        <w:spacing w:line="34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幼年时若生长激素分泌不足会使人患</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侏儒</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症，若甲状腺激素分泌不足会使人患</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呆小</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症。</w:t>
      </w:r>
    </w:p>
    <w:p w14:paraId="78486083">
      <w:pPr>
        <w:spacing w:line="34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人体内甲状腺激素过多(甲亢)，表现为</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color="000000"/>
          <w14:textFill>
            <w14:solidFill>
              <w14:schemeClr w14:val="tx1"/>
            </w14:solidFill>
          </w14:textFill>
        </w:rPr>
        <w:t xml:space="preserve">食欲旺盛、身体消瘦，神经系统兴奋性高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14:paraId="2BF81D43">
      <w:pPr>
        <w:pStyle w:val="9"/>
        <w:spacing w:line="240" w:lineRule="auto"/>
        <w:rPr>
          <w:rFonts w:hint="eastAsia"/>
          <w:b/>
          <w:bCs/>
          <w:color w:val="auto"/>
          <w:sz w:val="21"/>
          <w:szCs w:val="21"/>
          <w:lang w:val="en-US" w:eastAsia="zh-CN"/>
        </w:rPr>
      </w:pPr>
      <w:r>
        <w:rPr>
          <w:rFonts w:hint="eastAsia"/>
          <w:sz w:val="21"/>
          <w:szCs w:val="21"/>
          <w:lang w:val="en-US" w:eastAsia="zh-CN"/>
        </w:rPr>
        <w:t>4.</w:t>
      </w:r>
      <w:r>
        <w:rPr>
          <w:sz w:val="21"/>
          <w:szCs w:val="21"/>
        </w:rPr>
        <w:t>缺碘：患甲状腺肿，俗称“大脖子病”</w:t>
      </w:r>
    </w:p>
    <w:p w14:paraId="0CB5C339">
      <w:pPr>
        <w:pStyle w:val="9"/>
        <w:spacing w:line="240" w:lineRule="auto"/>
        <w:rPr>
          <w:rFonts w:hint="eastAsia"/>
          <w:b/>
          <w:bCs/>
          <w:color w:val="auto"/>
          <w:sz w:val="21"/>
          <w:szCs w:val="21"/>
          <w:lang w:val="en-US" w:eastAsia="zh-CN"/>
        </w:rPr>
      </w:pPr>
      <w:r>
        <w:rPr>
          <w:rFonts w:hint="eastAsia"/>
          <w:b/>
          <w:bCs/>
          <w:color w:val="auto"/>
          <w:sz w:val="21"/>
          <w:szCs w:val="21"/>
          <w:lang w:val="en-US" w:eastAsia="zh-CN"/>
        </w:rPr>
        <w:t>二、激素调节的过程</w:t>
      </w:r>
    </w:p>
    <w:p w14:paraId="70462587">
      <w:pPr>
        <w:keepNext w:val="0"/>
        <w:keepLines w:val="0"/>
        <w:pageBreakBefore w:val="0"/>
        <w:widowControl w:val="0"/>
        <w:shd w:val="clear" w:color="auto" w:fill="auto"/>
        <w:kinsoku/>
        <w:wordWrap/>
        <w:overflowPunct/>
        <w:topLinePunct w:val="0"/>
        <w:autoSpaceDE/>
        <w:autoSpaceDN/>
        <w:bidi w:val="0"/>
        <w:adjustRightInd/>
        <w:spacing w:line="240" w:lineRule="auto"/>
        <w:ind w:firstLine="0" w:firstLineChars="0"/>
        <w:jc w:val="left"/>
        <w:textAlignment w:val="auto"/>
        <w:rPr>
          <w:rFonts w:hint="eastAsia"/>
          <w:color w:val="002060"/>
          <w:sz w:val="21"/>
          <w:szCs w:val="21"/>
        </w:rPr>
      </w:pPr>
      <w:r>
        <w:rPr>
          <w:rFonts w:hint="eastAsia" w:asciiTheme="minorEastAsia" w:hAnsiTheme="minorEastAsia" w:cstheme="minorBidi"/>
          <w:b/>
          <w:bCs/>
          <w:color w:val="auto"/>
          <w:kern w:val="2"/>
          <w:sz w:val="21"/>
          <w:szCs w:val="21"/>
          <w:lang w:val="en-US" w:eastAsia="zh-CN" w:bidi="ar-SA"/>
        </w:rPr>
        <w:t>实例1：血糖调节</w:t>
      </w:r>
    </w:p>
    <w:p w14:paraId="0D7ED339">
      <w:pPr>
        <w:rPr>
          <w:rFonts w:hint="eastAsia" w:ascii="宋体" w:hAnsi="宋体" w:eastAsia="宋体" w:cs="宋体"/>
          <w:sz w:val="21"/>
          <w:szCs w:val="21"/>
        </w:rPr>
      </w:pPr>
      <w:r>
        <w:rPr>
          <w:rFonts w:hint="eastAsia" w:ascii="宋体" w:hAnsi="宋体" w:eastAsia="宋体" w:cs="宋体"/>
          <w:b/>
          <w:bCs/>
          <w:color w:val="auto"/>
          <w:sz w:val="21"/>
          <w:szCs w:val="21"/>
          <w:lang w:val="en-US" w:eastAsia="zh-CN"/>
        </w:rPr>
        <w:t>实例2：</w:t>
      </w:r>
      <w:r>
        <w:rPr>
          <w:rFonts w:hint="eastAsia" w:ascii="宋体" w:hAnsi="宋体" w:eastAsia="宋体" w:cs="宋体"/>
          <w:b/>
          <w:bCs/>
          <w:color w:val="auto"/>
          <w:sz w:val="21"/>
          <w:szCs w:val="21"/>
        </w:rPr>
        <w:t>甲状腺激素分泌的调节</w:t>
      </w:r>
    </w:p>
    <w:p w14:paraId="2EEF4983">
      <w:pPr>
        <w:pStyle w:val="9"/>
        <w:spacing w:line="240" w:lineRule="auto"/>
        <w:rPr>
          <w:rFonts w:asciiTheme="minorEastAsia" w:hAnsiTheme="minorEastAsia" w:eastAsiaTheme="minorEastAsia"/>
          <w:b/>
          <w:bCs/>
          <w:color w:val="auto"/>
          <w:sz w:val="21"/>
          <w:szCs w:val="21"/>
        </w:rPr>
      </w:pPr>
      <w:r>
        <w:rPr>
          <w:rFonts w:hint="eastAsia" w:asciiTheme="minorEastAsia" w:hAnsiTheme="minorEastAsia"/>
          <w:b/>
          <w:bCs/>
          <w:color w:val="auto"/>
          <w:sz w:val="21"/>
          <w:szCs w:val="21"/>
          <w:lang w:val="en-US" w:eastAsia="zh-CN"/>
        </w:rPr>
        <w:t>2.</w:t>
      </w:r>
      <w:r>
        <w:rPr>
          <w:rFonts w:hint="eastAsia" w:asciiTheme="minorEastAsia" w:hAnsiTheme="minorEastAsia" w:eastAsiaTheme="minorEastAsia"/>
          <w:b/>
          <w:bCs/>
          <w:color w:val="auto"/>
          <w:sz w:val="21"/>
          <w:szCs w:val="21"/>
        </w:rPr>
        <w:t>激素调节的特点</w:t>
      </w:r>
    </w:p>
    <w:p w14:paraId="3EB79460">
      <w:pPr>
        <w:rPr>
          <w:rFonts w:hint="eastAsia"/>
          <w:sz w:val="32"/>
          <w:szCs w:val="32"/>
          <w:lang w:val="en-US" w:eastAsia="zh-CN"/>
        </w:rPr>
      </w:pPr>
      <w:r>
        <w:rPr>
          <w:rFonts w:hint="eastAsia" w:asciiTheme="minorEastAsia" w:hAnsiTheme="minorEastAsia"/>
          <w:color w:val="auto"/>
          <w:sz w:val="21"/>
          <w:szCs w:val="21"/>
          <w:lang w:eastAsia="zh-CN"/>
        </w:rPr>
        <w:t>（</w:t>
      </w:r>
      <w:r>
        <w:rPr>
          <w:rFonts w:hint="eastAsia" w:asciiTheme="minorEastAsia" w:hAnsiTheme="minorEastAsia"/>
          <w:color w:val="auto"/>
          <w:sz w:val="21"/>
          <w:szCs w:val="21"/>
          <w:lang w:val="en-US" w:eastAsia="zh-CN"/>
        </w:rPr>
        <w:t>1</w:t>
      </w:r>
      <w:r>
        <w:rPr>
          <w:rFonts w:hint="eastAsia" w:asciiTheme="minorEastAsia" w:hAnsiTheme="minorEastAsia"/>
          <w:color w:val="auto"/>
          <w:sz w:val="21"/>
          <w:szCs w:val="21"/>
          <w:lang w:eastAsia="zh-CN"/>
        </w:rPr>
        <w:t>）</w:t>
      </w:r>
      <w:r>
        <w:rPr>
          <w:rFonts w:hint="eastAsia" w:asciiTheme="minorEastAsia" w:hAnsiTheme="minorEastAsia" w:eastAsiaTheme="minorEastAsia"/>
          <w:color w:val="auto"/>
          <w:sz w:val="21"/>
          <w:szCs w:val="21"/>
        </w:rPr>
        <w:t>通过体液进行运输</w:t>
      </w:r>
      <w:r>
        <w:rPr>
          <w:rFonts w:hint="eastAsia" w:asciiTheme="minorEastAsia" w:hAnsiTheme="minorEastAsia"/>
          <w:color w:val="auto"/>
          <w:sz w:val="21"/>
          <w:szCs w:val="21"/>
          <w:lang w:eastAsia="zh-CN"/>
        </w:rPr>
        <w:t>（</w:t>
      </w:r>
      <w:r>
        <w:rPr>
          <w:rFonts w:hint="eastAsia" w:asciiTheme="minorEastAsia" w:hAnsiTheme="minorEastAsia"/>
          <w:color w:val="auto"/>
          <w:sz w:val="21"/>
          <w:szCs w:val="21"/>
          <w:lang w:val="en-US" w:eastAsia="zh-CN"/>
        </w:rPr>
        <w:t>2</w:t>
      </w:r>
      <w:r>
        <w:rPr>
          <w:rFonts w:hint="eastAsia" w:asciiTheme="minorEastAsia" w:hAnsiTheme="minorEastAsia"/>
          <w:color w:val="auto"/>
          <w:sz w:val="21"/>
          <w:szCs w:val="21"/>
          <w:lang w:eastAsia="zh-CN"/>
        </w:rPr>
        <w:t>）</w:t>
      </w:r>
      <w:r>
        <w:rPr>
          <w:rFonts w:hint="eastAsia" w:asciiTheme="minorEastAsia" w:hAnsiTheme="minorEastAsia" w:eastAsiaTheme="minorEastAsia"/>
          <w:color w:val="auto"/>
          <w:sz w:val="21"/>
          <w:szCs w:val="21"/>
        </w:rPr>
        <w:t>作用于靶器官、靶细胞</w:t>
      </w:r>
      <w:r>
        <w:rPr>
          <w:rFonts w:hint="eastAsia" w:asciiTheme="minorEastAsia" w:hAnsiTheme="minorEastAsia"/>
          <w:color w:val="auto"/>
          <w:sz w:val="21"/>
          <w:szCs w:val="21"/>
          <w:lang w:eastAsia="zh-CN"/>
        </w:rPr>
        <w:t>（</w:t>
      </w:r>
      <w:r>
        <w:rPr>
          <w:rFonts w:hint="eastAsia" w:asciiTheme="minorEastAsia" w:hAnsiTheme="minorEastAsia"/>
          <w:color w:val="auto"/>
          <w:sz w:val="21"/>
          <w:szCs w:val="21"/>
          <w:lang w:val="en-US" w:eastAsia="zh-CN"/>
        </w:rPr>
        <w:t>3</w:t>
      </w:r>
      <w:r>
        <w:rPr>
          <w:rFonts w:hint="eastAsia" w:asciiTheme="minorEastAsia" w:hAnsiTheme="minorEastAsia"/>
          <w:color w:val="auto"/>
          <w:sz w:val="21"/>
          <w:szCs w:val="21"/>
          <w:lang w:eastAsia="zh-CN"/>
        </w:rPr>
        <w:t>）</w:t>
      </w:r>
      <w:r>
        <w:rPr>
          <w:rFonts w:hint="eastAsia" w:asciiTheme="minorEastAsia" w:hAnsiTheme="minorEastAsia" w:eastAsiaTheme="minorEastAsia"/>
          <w:color w:val="auto"/>
          <w:sz w:val="21"/>
          <w:szCs w:val="21"/>
        </w:rPr>
        <w:t>作为信使传递信息</w:t>
      </w:r>
      <w:r>
        <w:rPr>
          <w:rFonts w:hint="eastAsia" w:asciiTheme="minorEastAsia" w:hAnsiTheme="minorEastAsia"/>
          <w:color w:val="auto"/>
          <w:sz w:val="21"/>
          <w:szCs w:val="21"/>
          <w:lang w:eastAsia="zh-CN"/>
        </w:rPr>
        <w:t>（</w:t>
      </w:r>
      <w:r>
        <w:rPr>
          <w:rFonts w:hint="eastAsia" w:asciiTheme="minorEastAsia" w:hAnsiTheme="minorEastAsia"/>
          <w:color w:val="auto"/>
          <w:sz w:val="21"/>
          <w:szCs w:val="21"/>
          <w:lang w:val="en-US" w:eastAsia="zh-CN"/>
        </w:rPr>
        <w:t>4</w:t>
      </w:r>
      <w:r>
        <w:rPr>
          <w:rFonts w:hint="eastAsia" w:asciiTheme="minorEastAsia" w:hAnsiTheme="minorEastAsia"/>
          <w:color w:val="auto"/>
          <w:sz w:val="21"/>
          <w:szCs w:val="21"/>
          <w:lang w:eastAsia="zh-CN"/>
        </w:rPr>
        <w:t>）</w:t>
      </w:r>
      <w:r>
        <w:rPr>
          <w:rFonts w:hint="eastAsia" w:asciiTheme="minorEastAsia" w:hAnsiTheme="minorEastAsia" w:eastAsiaTheme="minorEastAsia"/>
          <w:color w:val="auto"/>
          <w:sz w:val="21"/>
          <w:szCs w:val="21"/>
        </w:rPr>
        <w:t>微量和高效</w:t>
      </w:r>
    </w:p>
    <w:p w14:paraId="5EE388E3">
      <w:pPr>
        <w:jc w:val="left"/>
        <w:textAlignment w:val="center"/>
        <w:rPr>
          <w:rFonts w:ascii="宋体" w:hAnsi="宋体" w:eastAsia="宋体" w:cs="宋体"/>
          <w:b/>
          <w:i w:val="0"/>
          <w:color w:val="000000"/>
          <w:sz w:val="21"/>
        </w:rPr>
      </w:pPr>
      <w:r>
        <w:rPr>
          <w:rFonts w:ascii="宋体" w:hAnsi="宋体" w:eastAsia="宋体" w:cs="宋体"/>
          <w:b/>
          <w:i w:val="0"/>
          <w:color w:val="000000"/>
          <w:sz w:val="21"/>
        </w:rPr>
        <w:t>一、单选题</w:t>
      </w:r>
    </w:p>
    <w:p w14:paraId="680904B1">
      <w:pPr>
        <w:shd w:val="clear" w:color="auto" w:fill="auto"/>
        <w:spacing w:line="360" w:lineRule="auto"/>
        <w:jc w:val="left"/>
        <w:textAlignment w:val="center"/>
        <w:rPr>
          <w:sz w:val="21"/>
        </w:rPr>
      </w:pPr>
      <w:r>
        <w:rPr>
          <w:sz w:val="21"/>
        </w:rPr>
        <w:t>1．甲状腺激素的分泌受下丘脑-垂体-甲状腺轴的调节，促甲状腺激素能刺激甲状腺增生。如果食物中长期缺乏合成甲状腺激素的原料碘，会导致（　　）</w:t>
      </w:r>
    </w:p>
    <w:p w14:paraId="516B8288">
      <w:pPr>
        <w:shd w:val="clear" w:color="auto" w:fill="auto"/>
        <w:spacing w:line="360" w:lineRule="auto"/>
        <w:ind w:left="300"/>
        <w:jc w:val="left"/>
        <w:textAlignment w:val="center"/>
        <w:rPr>
          <w:sz w:val="21"/>
        </w:rPr>
      </w:pPr>
      <w:r>
        <w:rPr>
          <w:sz w:val="21"/>
        </w:rPr>
        <w:t>A．甲状腺激素合成增加，促甲状腺激素分泌降低</w:t>
      </w:r>
    </w:p>
    <w:p w14:paraId="0123A738">
      <w:pPr>
        <w:shd w:val="clear" w:color="auto" w:fill="auto"/>
        <w:spacing w:line="360" w:lineRule="auto"/>
        <w:ind w:left="300"/>
        <w:jc w:val="left"/>
        <w:textAlignment w:val="center"/>
        <w:rPr>
          <w:sz w:val="21"/>
        </w:rPr>
      </w:pPr>
      <w:r>
        <w:rPr>
          <w:sz w:val="21"/>
        </w:rPr>
        <w:t>B．甲状腺激素合成降低，甲状腺肿大</w:t>
      </w:r>
    </w:p>
    <w:p w14:paraId="5168A65E">
      <w:pPr>
        <w:shd w:val="clear" w:color="auto" w:fill="auto"/>
        <w:spacing w:line="360" w:lineRule="auto"/>
        <w:ind w:left="300"/>
        <w:jc w:val="left"/>
        <w:textAlignment w:val="center"/>
        <w:rPr>
          <w:sz w:val="21"/>
        </w:rPr>
      </w:pPr>
      <w:r>
        <w:rPr>
          <w:sz w:val="21"/>
        </w:rPr>
        <w:t>C．促甲状腺激素分泌降低，甲状腺肿大</w:t>
      </w:r>
    </w:p>
    <w:p w14:paraId="43E000E2">
      <w:pPr>
        <w:shd w:val="clear" w:color="auto" w:fill="auto"/>
        <w:spacing w:line="360" w:lineRule="auto"/>
        <w:ind w:left="300"/>
        <w:jc w:val="left"/>
        <w:textAlignment w:val="center"/>
        <w:rPr>
          <w:sz w:val="21"/>
        </w:rPr>
      </w:pPr>
      <w:r>
        <w:rPr>
          <w:sz w:val="21"/>
        </w:rPr>
        <w:t>D．促甲状腺激素释放激素分泌降低，甲状腺肿大</w:t>
      </w:r>
    </w:p>
    <w:p w14:paraId="0EC002F4">
      <w:pPr>
        <w:shd w:val="clear" w:color="auto" w:fill="auto"/>
        <w:spacing w:line="360" w:lineRule="auto"/>
        <w:jc w:val="left"/>
        <w:textAlignment w:val="center"/>
        <w:rPr>
          <w:sz w:val="21"/>
        </w:rPr>
      </w:pPr>
      <w:r>
        <w:rPr>
          <w:sz w:val="21"/>
        </w:rPr>
        <w:t>2．梅尼埃病表现为反复发作的眩晕、听力下降，并伴有内耳淋巴水肿。检测正常人及该病患者急性发作期血清中相关激素水平的结果如下表，临床上常用利尿剂（促进尿液产生）进行治疗。下列关于该病患者的叙述错误的是（</w:t>
      </w:r>
      <w:r>
        <w:rPr>
          <w:rFonts w:ascii="Times New Roman" w:hAnsi="Times New Roman" w:eastAsia="Times New Roman" w:cs="Times New Roman"/>
          <w:kern w:val="0"/>
          <w:sz w:val="24"/>
          <w:szCs w:val="24"/>
        </w:rPr>
        <w:t>    </w:t>
      </w:r>
      <w:r>
        <w:rPr>
          <w:sz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2684"/>
        <w:gridCol w:w="2264"/>
      </w:tblGrid>
      <w:tr w14:paraId="0F29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8A933">
            <w:pPr>
              <w:shd w:val="clear" w:color="auto" w:fill="auto"/>
              <w:spacing w:line="360" w:lineRule="auto"/>
              <w:jc w:val="center"/>
              <w:textAlignment w:val="center"/>
              <w:rPr>
                <w:sz w:val="21"/>
              </w:rPr>
            </w:pPr>
            <w:r>
              <w:rPr>
                <w:sz w:val="21"/>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D6463E">
            <w:pPr>
              <w:shd w:val="clear" w:color="auto" w:fill="auto"/>
              <w:spacing w:line="360" w:lineRule="auto"/>
              <w:jc w:val="center"/>
              <w:textAlignment w:val="center"/>
              <w:rPr>
                <w:sz w:val="21"/>
              </w:rPr>
            </w:pPr>
            <w:r>
              <w:rPr>
                <w:sz w:val="21"/>
              </w:rPr>
              <w:t>抗利尿激素浓度/（ng-L</w:t>
            </w:r>
            <w:r>
              <w:rPr>
                <w:sz w:val="21"/>
                <w:vertAlign w:val="superscript"/>
              </w:rPr>
              <w:t>-1</w:t>
            </w:r>
            <w:r>
              <w:rPr>
                <w:sz w:val="21"/>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04C960">
            <w:pPr>
              <w:shd w:val="clear" w:color="auto" w:fill="auto"/>
              <w:spacing w:line="360" w:lineRule="auto"/>
              <w:jc w:val="center"/>
              <w:textAlignment w:val="center"/>
              <w:rPr>
                <w:sz w:val="21"/>
              </w:rPr>
            </w:pPr>
            <w:r>
              <w:rPr>
                <w:sz w:val="21"/>
              </w:rPr>
              <w:t>醛固酮浓度/（ng-L</w:t>
            </w:r>
            <w:r>
              <w:rPr>
                <w:sz w:val="21"/>
                <w:vertAlign w:val="superscript"/>
              </w:rPr>
              <w:t>-1</w:t>
            </w:r>
            <w:r>
              <w:rPr>
                <w:sz w:val="21"/>
              </w:rPr>
              <w:t>）</w:t>
            </w:r>
          </w:p>
        </w:tc>
      </w:tr>
      <w:tr w14:paraId="7BE44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056EE">
            <w:pPr>
              <w:shd w:val="clear" w:color="auto" w:fill="auto"/>
              <w:spacing w:line="360" w:lineRule="auto"/>
              <w:jc w:val="center"/>
              <w:textAlignment w:val="center"/>
              <w:rPr>
                <w:sz w:val="21"/>
              </w:rPr>
            </w:pPr>
            <w:r>
              <w:rPr>
                <w:sz w:val="21"/>
              </w:rPr>
              <w:t>正常对照组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82A7A5">
            <w:pPr>
              <w:shd w:val="clear" w:color="auto" w:fill="auto"/>
              <w:spacing w:line="360" w:lineRule="auto"/>
              <w:jc w:val="center"/>
              <w:textAlignment w:val="center"/>
              <w:rPr>
                <w:sz w:val="21"/>
              </w:rPr>
            </w:pPr>
            <w:r>
              <w:rPr>
                <w:sz w:val="21"/>
              </w:rPr>
              <w:t>19.83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4C3A1">
            <w:pPr>
              <w:shd w:val="clear" w:color="auto" w:fill="auto"/>
              <w:spacing w:line="360" w:lineRule="auto"/>
              <w:jc w:val="center"/>
              <w:textAlignment w:val="center"/>
              <w:rPr>
                <w:sz w:val="21"/>
              </w:rPr>
            </w:pPr>
            <w:r>
              <w:rPr>
                <w:sz w:val="21"/>
              </w:rPr>
              <w:t>98.40</w:t>
            </w:r>
          </w:p>
        </w:tc>
      </w:tr>
      <w:tr w14:paraId="2459D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0C957">
            <w:pPr>
              <w:shd w:val="clear" w:color="auto" w:fill="auto"/>
              <w:spacing w:line="360" w:lineRule="auto"/>
              <w:jc w:val="center"/>
              <w:textAlignment w:val="center"/>
              <w:rPr>
                <w:sz w:val="21"/>
              </w:rPr>
            </w:pPr>
            <w:r>
              <w:rPr>
                <w:sz w:val="21"/>
              </w:rPr>
              <w:t>急性发病组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B6438">
            <w:pPr>
              <w:shd w:val="clear" w:color="auto" w:fill="auto"/>
              <w:spacing w:line="360" w:lineRule="auto"/>
              <w:jc w:val="center"/>
              <w:textAlignment w:val="center"/>
              <w:rPr>
                <w:sz w:val="21"/>
              </w:rPr>
            </w:pPr>
            <w:r>
              <w:rPr>
                <w:sz w:val="21"/>
              </w:rPr>
              <w:t>24.93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F4A36">
            <w:pPr>
              <w:shd w:val="clear" w:color="auto" w:fill="auto"/>
              <w:spacing w:line="360" w:lineRule="auto"/>
              <w:jc w:val="center"/>
              <w:textAlignment w:val="center"/>
              <w:rPr>
                <w:sz w:val="21"/>
              </w:rPr>
            </w:pPr>
            <w:r>
              <w:rPr>
                <w:sz w:val="21"/>
              </w:rPr>
              <w:t>122.82</w:t>
            </w:r>
          </w:p>
        </w:tc>
      </w:tr>
    </w:tbl>
    <w:p w14:paraId="6211A999">
      <w:pPr>
        <w:shd w:val="clear" w:color="auto" w:fill="auto"/>
        <w:spacing w:line="360" w:lineRule="auto"/>
        <w:ind w:left="300"/>
        <w:jc w:val="left"/>
        <w:textAlignment w:val="center"/>
        <w:rPr>
          <w:sz w:val="21"/>
        </w:rPr>
      </w:pPr>
      <w:r>
        <w:rPr>
          <w:sz w:val="21"/>
        </w:rPr>
        <w:t>A．内耳的听觉感受细胞生存的内环境稳态失衡会影响听力</w:t>
      </w:r>
    </w:p>
    <w:p w14:paraId="3AA93C5E">
      <w:pPr>
        <w:shd w:val="clear" w:color="auto" w:fill="auto"/>
        <w:spacing w:line="360" w:lineRule="auto"/>
        <w:ind w:left="300"/>
        <w:jc w:val="left"/>
        <w:textAlignment w:val="center"/>
        <w:rPr>
          <w:sz w:val="21"/>
        </w:rPr>
      </w:pPr>
      <w:r>
        <w:rPr>
          <w:sz w:val="21"/>
        </w:rPr>
        <w:t>B．发作期抗利尿激素水平的升高使细胞外液渗透压升高</w:t>
      </w:r>
    </w:p>
    <w:p w14:paraId="6F89E92B">
      <w:pPr>
        <w:shd w:val="clear" w:color="auto" w:fill="auto"/>
        <w:spacing w:line="360" w:lineRule="auto"/>
        <w:ind w:left="300"/>
        <w:jc w:val="left"/>
        <w:textAlignment w:val="center"/>
        <w:rPr>
          <w:sz w:val="21"/>
        </w:rPr>
      </w:pPr>
      <w:r>
        <w:rPr>
          <w:sz w:val="21"/>
        </w:rPr>
        <w:t>C．醛固酮的分泌可受下丘脑一垂体一肾上腺皮质轴调控</w:t>
      </w:r>
    </w:p>
    <w:p w14:paraId="64147E84">
      <w:pPr>
        <w:shd w:val="clear" w:color="auto" w:fill="auto"/>
        <w:spacing w:line="360" w:lineRule="auto"/>
        <w:ind w:left="300"/>
        <w:jc w:val="left"/>
        <w:textAlignment w:val="center"/>
        <w:rPr>
          <w:sz w:val="21"/>
        </w:rPr>
      </w:pPr>
      <w:r>
        <w:rPr>
          <w:sz w:val="21"/>
        </w:rPr>
        <w:t>D．急性发作期使用利尿剂治疗的同时应该保持低盐饮食</w:t>
      </w:r>
    </w:p>
    <w:p w14:paraId="03B16A98">
      <w:pPr>
        <w:shd w:val="clear" w:color="auto" w:fill="auto"/>
        <w:spacing w:line="360" w:lineRule="auto"/>
        <w:jc w:val="left"/>
        <w:textAlignment w:val="center"/>
        <w:rPr>
          <w:sz w:val="21"/>
        </w:rPr>
      </w:pPr>
      <w:r>
        <w:rPr>
          <w:sz w:val="21"/>
        </w:rPr>
        <w:t>3．空腹血糖是糖尿病筛查常用检测指标之一，但易受运动和心理状态等因素干扰，影响筛查结果。下列叙述正确的是（</w:t>
      </w:r>
      <w:r>
        <w:rPr>
          <w:rFonts w:ascii="Times New Roman" w:hAnsi="Times New Roman" w:eastAsia="Times New Roman" w:cs="Times New Roman"/>
          <w:kern w:val="0"/>
          <w:sz w:val="24"/>
          <w:szCs w:val="24"/>
        </w:rPr>
        <w:t>    </w:t>
      </w:r>
      <w:r>
        <w:rPr>
          <w:sz w:val="21"/>
        </w:rPr>
        <w:t>）</w:t>
      </w:r>
    </w:p>
    <w:p w14:paraId="6E9F974D">
      <w:pPr>
        <w:shd w:val="clear" w:color="auto" w:fill="auto"/>
        <w:spacing w:line="360" w:lineRule="auto"/>
        <w:ind w:left="300"/>
        <w:jc w:val="left"/>
        <w:textAlignment w:val="center"/>
        <w:rPr>
          <w:sz w:val="21"/>
        </w:rPr>
      </w:pPr>
      <w:r>
        <w:rPr>
          <w:sz w:val="21"/>
        </w:rPr>
        <w:t>A．空腹时健康人血糖水平保持恒定</w:t>
      </w:r>
    </w:p>
    <w:p w14:paraId="42D22713">
      <w:pPr>
        <w:shd w:val="clear" w:color="auto" w:fill="auto"/>
        <w:spacing w:line="360" w:lineRule="auto"/>
        <w:ind w:left="300"/>
        <w:jc w:val="left"/>
        <w:textAlignment w:val="center"/>
        <w:rPr>
          <w:sz w:val="21"/>
        </w:rPr>
      </w:pPr>
      <w:r>
        <w:rPr>
          <w:sz w:val="21"/>
        </w:rPr>
        <w:t>B．空腹时糖尿病患者胰岛细胞不分泌激素</w:t>
      </w:r>
    </w:p>
    <w:p w14:paraId="09B92E5F">
      <w:pPr>
        <w:shd w:val="clear" w:color="auto" w:fill="auto"/>
        <w:spacing w:line="360" w:lineRule="auto"/>
        <w:ind w:left="300"/>
        <w:jc w:val="left"/>
        <w:textAlignment w:val="center"/>
        <w:rPr>
          <w:sz w:val="21"/>
        </w:rPr>
      </w:pPr>
      <w:r>
        <w:rPr>
          <w:sz w:val="21"/>
        </w:rPr>
        <w:t>C．运动时血液中的葡萄糖只消耗没有补充</w:t>
      </w:r>
    </w:p>
    <w:p w14:paraId="6620904B">
      <w:pPr>
        <w:shd w:val="clear" w:color="auto" w:fill="auto"/>
        <w:spacing w:line="360" w:lineRule="auto"/>
        <w:ind w:left="300"/>
        <w:jc w:val="left"/>
        <w:textAlignment w:val="center"/>
        <w:rPr>
          <w:sz w:val="21"/>
        </w:rPr>
      </w:pPr>
      <w:r>
        <w:rPr>
          <w:sz w:val="21"/>
        </w:rPr>
        <w:t>D．紧张时交感神经兴奋使血糖水平升高</w:t>
      </w:r>
    </w:p>
    <w:p w14:paraId="716F49AD">
      <w:pPr>
        <w:shd w:val="clear" w:color="auto" w:fill="auto"/>
        <w:spacing w:line="360" w:lineRule="auto"/>
        <w:jc w:val="left"/>
        <w:textAlignment w:val="center"/>
        <w:rPr>
          <w:sz w:val="21"/>
        </w:rPr>
      </w:pPr>
      <w:r>
        <w:rPr>
          <w:sz w:val="21"/>
        </w:rPr>
        <w:t>4．某患者，54岁，因病切除右侧肾上腺。术后检查发现，患者血浆中肾上腺皮质激素水平仍处于正常范围。对于出现这种现象的原因，错误的解释是（　　）</w:t>
      </w:r>
    </w:p>
    <w:p w14:paraId="0B5AC5EF">
      <w:pPr>
        <w:shd w:val="clear" w:color="auto" w:fill="auto"/>
        <w:spacing w:line="360" w:lineRule="auto"/>
        <w:ind w:left="300"/>
        <w:jc w:val="left"/>
        <w:textAlignment w:val="center"/>
        <w:rPr>
          <w:sz w:val="21"/>
        </w:rPr>
      </w:pPr>
      <w:r>
        <w:rPr>
          <w:sz w:val="21"/>
        </w:rPr>
        <w:t>A．切除手术后，对侧肾上腺提高了肾上腺皮质激素的分泌量</w:t>
      </w:r>
    </w:p>
    <w:p w14:paraId="6CD7319B">
      <w:pPr>
        <w:shd w:val="clear" w:color="auto" w:fill="auto"/>
        <w:spacing w:line="360" w:lineRule="auto"/>
        <w:ind w:left="300"/>
        <w:jc w:val="left"/>
        <w:textAlignment w:val="center"/>
        <w:rPr>
          <w:sz w:val="21"/>
        </w:rPr>
      </w:pPr>
      <w:r>
        <w:rPr>
          <w:sz w:val="21"/>
        </w:rPr>
        <w:t>B．下丘脑可感受到肾上腺皮质激素水平的变化，发挥调节作用</w:t>
      </w:r>
    </w:p>
    <w:p w14:paraId="32B234CA">
      <w:pPr>
        <w:shd w:val="clear" w:color="auto" w:fill="auto"/>
        <w:spacing w:line="360" w:lineRule="auto"/>
        <w:ind w:left="300"/>
        <w:jc w:val="left"/>
        <w:textAlignment w:val="center"/>
        <w:rPr>
          <w:sz w:val="21"/>
        </w:rPr>
      </w:pPr>
      <w:r>
        <w:rPr>
          <w:sz w:val="21"/>
        </w:rPr>
        <w:t>C．下丘脑可分泌促肾上腺皮质激素，促进肾上腺皮质激素的分泌</w:t>
      </w:r>
    </w:p>
    <w:p w14:paraId="1AAE8EF8">
      <w:pPr>
        <w:shd w:val="clear" w:color="auto" w:fill="auto"/>
        <w:spacing w:line="360" w:lineRule="auto"/>
        <w:ind w:left="300"/>
        <w:jc w:val="left"/>
        <w:textAlignment w:val="center"/>
        <w:rPr>
          <w:sz w:val="21"/>
        </w:rPr>
      </w:pPr>
      <w:r>
        <w:rPr>
          <w:sz w:val="21"/>
        </w:rPr>
        <w:t>D．垂体可接受下丘脑分泌的激素信号，促进肾上腺皮质的分泌功能</w:t>
      </w:r>
    </w:p>
    <w:p w14:paraId="2B7E33CC">
      <w:pPr>
        <w:shd w:val="clear" w:color="auto" w:fill="auto"/>
        <w:spacing w:line="360" w:lineRule="auto"/>
        <w:jc w:val="left"/>
        <w:textAlignment w:val="center"/>
        <w:rPr>
          <w:sz w:val="21"/>
        </w:rPr>
      </w:pPr>
      <w:r>
        <w:rPr>
          <w:sz w:val="21"/>
        </w:rPr>
        <w:t>5．机体内血糖浓度受多种激素共同调节。某实验小组探究了三种激素单独或联合作用调节血糖的效应，实验前血糖浓度为5.0mmol/L，血糖浓度随激素处理时间的变化如图。下列有关叙述正确的是（</w:t>
      </w:r>
      <w:r>
        <w:rPr>
          <w:rFonts w:ascii="Times New Roman" w:hAnsi="Times New Roman" w:eastAsia="Times New Roman" w:cs="Times New Roman"/>
          <w:kern w:val="0"/>
          <w:sz w:val="24"/>
          <w:szCs w:val="24"/>
        </w:rPr>
        <w:t>    </w:t>
      </w:r>
      <w:r>
        <w:rPr>
          <w:sz w:val="21"/>
        </w:rPr>
        <w:t>）</w:t>
      </w:r>
    </w:p>
    <w:p w14:paraId="1D21EC3B">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218690" cy="1645285"/>
            <wp:effectExtent l="0" t="0" r="10160" b="12065"/>
            <wp:docPr id="100003" name="图片 100003" descr="@@@a3d83784-b950-4542-806d-6145ab225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a3d83784-b950-4542-806d-6145ab225235"/>
                    <pic:cNvPicPr>
                      <a:picLocks noChangeAspect="1"/>
                    </pic:cNvPicPr>
                  </pic:nvPicPr>
                  <pic:blipFill>
                    <a:blip r:embed="rId6"/>
                    <a:stretch>
                      <a:fillRect/>
                    </a:stretch>
                  </pic:blipFill>
                  <pic:spPr>
                    <a:xfrm>
                      <a:off x="0" y="0"/>
                      <a:ext cx="2218690" cy="1645285"/>
                    </a:xfrm>
                    <a:prstGeom prst="rect">
                      <a:avLst/>
                    </a:prstGeom>
                  </pic:spPr>
                </pic:pic>
              </a:graphicData>
            </a:graphic>
          </wp:inline>
        </w:drawing>
      </w:r>
    </w:p>
    <w:p w14:paraId="209F7822">
      <w:pPr>
        <w:shd w:val="clear" w:color="auto" w:fill="auto"/>
        <w:spacing w:line="360" w:lineRule="auto"/>
        <w:ind w:left="300"/>
        <w:jc w:val="left"/>
        <w:textAlignment w:val="center"/>
        <w:rPr>
          <w:sz w:val="21"/>
        </w:rPr>
      </w:pPr>
      <w:r>
        <w:rPr>
          <w:sz w:val="21"/>
        </w:rPr>
        <w:t>A．激素单独作用时，0.5h内升高血糖最快的激素是肾上腺素</w:t>
      </w:r>
    </w:p>
    <w:p w14:paraId="76FD3EDA">
      <w:pPr>
        <w:shd w:val="clear" w:color="auto" w:fill="auto"/>
        <w:spacing w:line="360" w:lineRule="auto"/>
        <w:ind w:left="300"/>
        <w:jc w:val="left"/>
        <w:textAlignment w:val="center"/>
        <w:rPr>
          <w:sz w:val="21"/>
        </w:rPr>
      </w:pPr>
      <w:r>
        <w:rPr>
          <w:sz w:val="21"/>
        </w:rPr>
        <w:t>B．3h时，三种激素联合作用升高血糖的效应大于各自效应的总和</w:t>
      </w:r>
    </w:p>
    <w:p w14:paraId="1AD218BE">
      <w:pPr>
        <w:shd w:val="clear" w:color="auto" w:fill="auto"/>
        <w:spacing w:line="360" w:lineRule="auto"/>
        <w:ind w:left="300"/>
        <w:jc w:val="left"/>
        <w:textAlignment w:val="center"/>
        <w:rPr>
          <w:sz w:val="21"/>
        </w:rPr>
      </w:pPr>
      <w:r>
        <w:rPr>
          <w:sz w:val="21"/>
        </w:rPr>
        <w:t>C．肾上腺素和胰高血糖素对血糖的调节作用表现出相抗衡的关系</w:t>
      </w:r>
    </w:p>
    <w:p w14:paraId="5756F563">
      <w:pPr>
        <w:shd w:val="clear" w:color="auto" w:fill="auto"/>
        <w:spacing w:line="360" w:lineRule="auto"/>
        <w:ind w:left="300"/>
        <w:jc w:val="left"/>
        <w:textAlignment w:val="center"/>
        <w:rPr>
          <w:sz w:val="21"/>
        </w:rPr>
      </w:pPr>
      <w:r>
        <w:rPr>
          <w:sz w:val="21"/>
        </w:rPr>
        <w:t>D．血糖浓度受肾上腺素、胰高血糖素和皮质醇调节，不受甲状腺激素调节</w:t>
      </w:r>
    </w:p>
    <w:p w14:paraId="7C8EC45F">
      <w:pPr>
        <w:shd w:val="clear" w:color="auto" w:fill="auto"/>
        <w:spacing w:line="360" w:lineRule="auto"/>
        <w:jc w:val="left"/>
        <w:textAlignment w:val="center"/>
        <w:rPr>
          <w:sz w:val="21"/>
        </w:rPr>
      </w:pPr>
      <w:r>
        <w:rPr>
          <w:sz w:val="21"/>
        </w:rPr>
        <w:t>6．小鼠甲状腺的内分泌机能受机体内、外环境因素影响，部分调节机理如图所示。</w:t>
      </w:r>
    </w:p>
    <w:p w14:paraId="76529FE7">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696460" cy="917575"/>
            <wp:effectExtent l="0" t="0" r="8890" b="15875"/>
            <wp:docPr id="100005" name="图片 100005" descr="@@@a9b75f03-1b10-4abc-a044-5562bc542a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a9b75f03-1b10-4abc-a044-5562bc542a53"/>
                    <pic:cNvPicPr>
                      <a:picLocks noChangeAspect="1"/>
                    </pic:cNvPicPr>
                  </pic:nvPicPr>
                  <pic:blipFill>
                    <a:blip r:embed="rId7"/>
                    <a:stretch>
                      <a:fillRect/>
                    </a:stretch>
                  </pic:blipFill>
                  <pic:spPr>
                    <a:xfrm>
                      <a:off x="0" y="0"/>
                      <a:ext cx="4696460" cy="917575"/>
                    </a:xfrm>
                    <a:prstGeom prst="rect">
                      <a:avLst/>
                    </a:prstGeom>
                  </pic:spPr>
                </pic:pic>
              </a:graphicData>
            </a:graphic>
          </wp:inline>
        </w:drawing>
      </w:r>
    </w:p>
    <w:p w14:paraId="25445F5B">
      <w:pPr>
        <w:shd w:val="clear" w:color="auto" w:fill="auto"/>
        <w:spacing w:line="360" w:lineRule="auto"/>
        <w:jc w:val="left"/>
        <w:textAlignment w:val="center"/>
        <w:rPr>
          <w:sz w:val="21"/>
        </w:rPr>
      </w:pPr>
      <w:r>
        <w:rPr>
          <w:sz w:val="21"/>
        </w:rPr>
        <w:t>下列叙述错误的是（</w:t>
      </w:r>
      <w:r>
        <w:rPr>
          <w:rFonts w:ascii="Times New Roman" w:hAnsi="Times New Roman" w:eastAsia="Times New Roman" w:cs="Times New Roman"/>
          <w:kern w:val="0"/>
          <w:sz w:val="24"/>
          <w:szCs w:val="24"/>
        </w:rPr>
        <w:t>    </w:t>
      </w:r>
      <w:r>
        <w:rPr>
          <w:sz w:val="21"/>
        </w:rPr>
        <w:t>）</w:t>
      </w:r>
    </w:p>
    <w:p w14:paraId="71655EE5">
      <w:pPr>
        <w:shd w:val="clear" w:color="auto" w:fill="auto"/>
        <w:spacing w:line="360" w:lineRule="auto"/>
        <w:ind w:left="300"/>
        <w:jc w:val="left"/>
        <w:textAlignment w:val="center"/>
        <w:rPr>
          <w:sz w:val="21"/>
        </w:rPr>
      </w:pPr>
      <w:r>
        <w:rPr>
          <w:sz w:val="21"/>
        </w:rPr>
        <w:t>A．TRH遍布全身血液，并定向作用于腺垂体</w:t>
      </w:r>
    </w:p>
    <w:p w14:paraId="6B9A78B0">
      <w:pPr>
        <w:shd w:val="clear" w:color="auto" w:fill="auto"/>
        <w:spacing w:line="360" w:lineRule="auto"/>
        <w:ind w:left="300"/>
        <w:jc w:val="left"/>
        <w:textAlignment w:val="center"/>
        <w:rPr>
          <w:sz w:val="21"/>
        </w:rPr>
      </w:pPr>
      <w:r>
        <w:rPr>
          <w:sz w:val="21"/>
        </w:rPr>
        <w:t>B．低于机体生理浓度时的TH对TSH的分泌起促进作用</w:t>
      </w:r>
    </w:p>
    <w:p w14:paraId="6173031E">
      <w:pPr>
        <w:shd w:val="clear" w:color="auto" w:fill="auto"/>
        <w:spacing w:line="360" w:lineRule="auto"/>
        <w:ind w:left="300"/>
        <w:jc w:val="left"/>
        <w:textAlignment w:val="center"/>
        <w:rPr>
          <w:sz w:val="21"/>
        </w:rPr>
      </w:pPr>
      <w:r>
        <w:rPr>
          <w:sz w:val="21"/>
        </w:rPr>
        <w:t>C．饮食缺碘会影响下丘脑和腺垂体的功能，引起甲状腺组织增生</w:t>
      </w:r>
    </w:p>
    <w:p w14:paraId="19846BA8">
      <w:pPr>
        <w:shd w:val="clear" w:color="auto" w:fill="auto"/>
        <w:spacing w:line="360" w:lineRule="auto"/>
        <w:ind w:left="300"/>
        <w:jc w:val="left"/>
        <w:textAlignment w:val="center"/>
        <w:rPr>
          <w:sz w:val="21"/>
        </w:rPr>
      </w:pPr>
      <w:r>
        <w:rPr>
          <w:sz w:val="21"/>
        </w:rPr>
        <w:t>D．给小鼠注射抗TRH血清后，机体对寒冷环境的适应能力减弱</w:t>
      </w:r>
    </w:p>
    <w:p w14:paraId="0454F25A">
      <w:pPr>
        <w:shd w:val="clear" w:color="auto" w:fill="auto"/>
        <w:spacing w:line="360" w:lineRule="auto"/>
        <w:jc w:val="left"/>
        <w:textAlignment w:val="center"/>
        <w:rPr>
          <w:sz w:val="21"/>
        </w:rPr>
      </w:pPr>
      <w:r>
        <w:rPr>
          <w:sz w:val="21"/>
        </w:rPr>
        <w:t>7．甲状旁腺激素（PTH）和降钙素（CT）可通过调节骨细胞活动以维持血钙稳态，如图所示。下列叙述错误的是（</w:t>
      </w:r>
      <w:r>
        <w:rPr>
          <w:rFonts w:ascii="Times New Roman" w:hAnsi="Times New Roman" w:eastAsia="Times New Roman" w:cs="Times New Roman"/>
          <w:kern w:val="0"/>
          <w:sz w:val="24"/>
          <w:szCs w:val="24"/>
        </w:rPr>
        <w:t>    </w:t>
      </w:r>
      <w:r>
        <w:rPr>
          <w:sz w:val="21"/>
        </w:rPr>
        <w:t>）</w:t>
      </w:r>
    </w:p>
    <w:p w14:paraId="378A6CD4">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886835" cy="1703705"/>
            <wp:effectExtent l="0" t="0" r="18415" b="10795"/>
            <wp:docPr id="100007" name="图片 100007" descr="@@@8931c764-8fa1-4c27-b9ed-7a7a84a29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8931c764-8fa1-4c27-b9ed-7a7a84a29023"/>
                    <pic:cNvPicPr>
                      <a:picLocks noChangeAspect="1"/>
                    </pic:cNvPicPr>
                  </pic:nvPicPr>
                  <pic:blipFill>
                    <a:blip r:embed="rId8"/>
                    <a:stretch>
                      <a:fillRect/>
                    </a:stretch>
                  </pic:blipFill>
                  <pic:spPr>
                    <a:xfrm>
                      <a:off x="0" y="0"/>
                      <a:ext cx="3886835" cy="1703705"/>
                    </a:xfrm>
                    <a:prstGeom prst="rect">
                      <a:avLst/>
                    </a:prstGeom>
                  </pic:spPr>
                </pic:pic>
              </a:graphicData>
            </a:graphic>
          </wp:inline>
        </w:drawing>
      </w:r>
      <w:r>
        <w:rPr>
          <w:rFonts w:ascii="Times New Roman" w:hAnsi="Times New Roman" w:eastAsia="Times New Roman" w:cs="Times New Roman"/>
          <w:kern w:val="0"/>
          <w:sz w:val="24"/>
          <w:szCs w:val="24"/>
        </w:rPr>
        <w:t>  </w:t>
      </w:r>
    </w:p>
    <w:p w14:paraId="537C394C">
      <w:pPr>
        <w:shd w:val="clear" w:color="auto" w:fill="auto"/>
        <w:spacing w:line="360" w:lineRule="auto"/>
        <w:ind w:left="300"/>
        <w:jc w:val="left"/>
        <w:textAlignment w:val="center"/>
        <w:rPr>
          <w:sz w:val="21"/>
        </w:rPr>
      </w:pPr>
      <w:r>
        <w:rPr>
          <w:sz w:val="21"/>
        </w:rPr>
        <w:t>A．CT可促进成骨细胞活动，降低血钙</w:t>
      </w:r>
    </w:p>
    <w:p w14:paraId="2170299B">
      <w:pPr>
        <w:shd w:val="clear" w:color="auto" w:fill="auto"/>
        <w:spacing w:line="360" w:lineRule="auto"/>
        <w:ind w:left="300"/>
        <w:jc w:val="left"/>
        <w:textAlignment w:val="center"/>
        <w:rPr>
          <w:sz w:val="21"/>
        </w:rPr>
      </w:pPr>
      <w:r>
        <w:rPr>
          <w:sz w:val="21"/>
        </w:rPr>
        <w:t>B．甲状旁腺功能亢进时，可引起骨质疏松</w:t>
      </w:r>
    </w:p>
    <w:p w14:paraId="5247DAC2">
      <w:pPr>
        <w:shd w:val="clear" w:color="auto" w:fill="auto"/>
        <w:spacing w:line="360" w:lineRule="auto"/>
        <w:ind w:left="300"/>
        <w:jc w:val="left"/>
        <w:textAlignment w:val="center"/>
        <w:rPr>
          <w:sz w:val="21"/>
        </w:rPr>
      </w:pPr>
      <w:r>
        <w:rPr>
          <w:sz w:val="21"/>
        </w:rPr>
        <w:t>C．破骨细胞活动异常增强，将引起CT分泌增加</w:t>
      </w:r>
    </w:p>
    <w:p w14:paraId="53F98C84">
      <w:pPr>
        <w:shd w:val="clear" w:color="auto" w:fill="auto"/>
        <w:spacing w:line="360" w:lineRule="auto"/>
        <w:ind w:left="300"/>
        <w:jc w:val="left"/>
        <w:textAlignment w:val="center"/>
        <w:rPr>
          <w:sz w:val="21"/>
        </w:rPr>
      </w:pPr>
      <w:r>
        <w:rPr>
          <w:sz w:val="21"/>
        </w:rPr>
        <w:t>D．长时间的高血钙可导致甲状旁腺增生</w:t>
      </w:r>
    </w:p>
    <w:p w14:paraId="02D5EFBA">
      <w:pPr>
        <w:shd w:val="clear" w:color="auto" w:fill="auto"/>
        <w:spacing w:line="360" w:lineRule="auto"/>
        <w:jc w:val="left"/>
        <w:textAlignment w:val="center"/>
        <w:rPr>
          <w:sz w:val="21"/>
        </w:rPr>
      </w:pPr>
      <w:r>
        <w:rPr>
          <w:sz w:val="21"/>
        </w:rPr>
        <w:t>8．失温症是指当人体核心温度低于35℃时出现的各种症状。失温症的症状取决于体温下降幅度，轻度失温可能造成发抖与意识混浊；中度失温时发抖症状消失，但精神错乱的状况会加剧。在重度失温的情况下，会有反常脱衣现象，也就是患者开始脱去衣物，这也同时增加了心搏停止的风险。下列叙述正确的是（</w:t>
      </w:r>
      <w:r>
        <w:rPr>
          <w:rFonts w:ascii="Times New Roman" w:hAnsi="Times New Roman" w:eastAsia="Times New Roman" w:cs="Times New Roman"/>
          <w:kern w:val="0"/>
          <w:sz w:val="24"/>
          <w:szCs w:val="24"/>
        </w:rPr>
        <w:t>    </w:t>
      </w:r>
      <w:r>
        <w:rPr>
          <w:sz w:val="21"/>
        </w:rPr>
        <w:t>）</w:t>
      </w:r>
    </w:p>
    <w:p w14:paraId="7DC38ABA">
      <w:pPr>
        <w:shd w:val="clear" w:color="auto" w:fill="auto"/>
        <w:spacing w:line="360" w:lineRule="auto"/>
        <w:ind w:left="300"/>
        <w:jc w:val="left"/>
        <w:textAlignment w:val="center"/>
        <w:rPr>
          <w:sz w:val="21"/>
        </w:rPr>
      </w:pPr>
      <w:r>
        <w:rPr>
          <w:sz w:val="21"/>
        </w:rPr>
        <w:t>A．环境寒冷是引发失温症的主要原因，夏季运动不会发生失温现象</w:t>
      </w:r>
    </w:p>
    <w:p w14:paraId="3A57B9F7">
      <w:pPr>
        <w:shd w:val="clear" w:color="auto" w:fill="auto"/>
        <w:spacing w:line="360" w:lineRule="auto"/>
        <w:ind w:left="300"/>
        <w:jc w:val="left"/>
        <w:textAlignment w:val="center"/>
        <w:rPr>
          <w:sz w:val="21"/>
        </w:rPr>
      </w:pPr>
      <w:r>
        <w:rPr>
          <w:sz w:val="21"/>
        </w:rPr>
        <w:t>B．成人中度失温时发抖症状消失的原因是高级神经中枢（大脑）的调节功能增强所致</w:t>
      </w:r>
    </w:p>
    <w:p w14:paraId="3D717FD1">
      <w:pPr>
        <w:shd w:val="clear" w:color="auto" w:fill="auto"/>
        <w:spacing w:line="360" w:lineRule="auto"/>
        <w:ind w:left="300"/>
        <w:jc w:val="left"/>
        <w:textAlignment w:val="center"/>
        <w:rPr>
          <w:sz w:val="21"/>
        </w:rPr>
      </w:pPr>
      <w:r>
        <w:rPr>
          <w:sz w:val="21"/>
        </w:rPr>
        <w:t>C．重度失温时，人意识模糊感到热，此时皮肤毛细血管中血流量上升</w:t>
      </w:r>
    </w:p>
    <w:p w14:paraId="34F1BA8E">
      <w:pPr>
        <w:shd w:val="clear" w:color="auto" w:fill="auto"/>
        <w:spacing w:line="360" w:lineRule="auto"/>
        <w:ind w:left="300"/>
        <w:jc w:val="left"/>
        <w:textAlignment w:val="center"/>
        <w:rPr>
          <w:rFonts w:ascii="黑体" w:hAnsi="黑体" w:eastAsia="黑体" w:cs="黑体"/>
          <w:b/>
          <w:i w:val="0"/>
          <w:color w:val="000000"/>
          <w:sz w:val="30"/>
        </w:rPr>
      </w:pPr>
      <w:r>
        <w:rPr>
          <w:sz w:val="21"/>
        </w:rPr>
        <w:t>D．轻度和中度失温时，可通过加大运动量抵御寒冷维持体温相对稳定</w:t>
      </w:r>
    </w:p>
    <w:p w14:paraId="60E35C22">
      <w:pPr>
        <w:jc w:val="left"/>
        <w:textAlignment w:val="center"/>
        <w:rPr>
          <w:rFonts w:ascii="宋体" w:hAnsi="宋体" w:eastAsia="宋体" w:cs="宋体"/>
          <w:b/>
          <w:i w:val="0"/>
          <w:color w:val="000000"/>
          <w:sz w:val="21"/>
        </w:rPr>
      </w:pPr>
      <w:r>
        <w:rPr>
          <w:rFonts w:ascii="宋体" w:hAnsi="宋体" w:eastAsia="宋体" w:cs="宋体"/>
          <w:b/>
          <w:i w:val="0"/>
          <w:color w:val="000000"/>
          <w:sz w:val="21"/>
        </w:rPr>
        <w:t>二、多选题</w:t>
      </w:r>
    </w:p>
    <w:p w14:paraId="0283E1A5">
      <w:pPr>
        <w:shd w:val="clear" w:color="auto" w:fill="auto"/>
        <w:spacing w:line="360" w:lineRule="auto"/>
        <w:jc w:val="left"/>
        <w:textAlignment w:val="center"/>
        <w:rPr>
          <w:sz w:val="21"/>
        </w:rPr>
      </w:pPr>
      <w:r>
        <w:rPr>
          <w:sz w:val="21"/>
        </w:rPr>
        <w:t>9．人体通过多种调节机制保持体温的相对稳定。下列说法正确的是（</w:t>
      </w:r>
      <w:r>
        <w:rPr>
          <w:rFonts w:ascii="Times New Roman" w:hAnsi="Times New Roman" w:eastAsia="Times New Roman" w:cs="Times New Roman"/>
          <w:kern w:val="0"/>
          <w:sz w:val="24"/>
          <w:szCs w:val="24"/>
        </w:rPr>
        <w:t>    </w:t>
      </w:r>
      <w:r>
        <w:rPr>
          <w:sz w:val="21"/>
        </w:rPr>
        <w:t>）</w:t>
      </w:r>
    </w:p>
    <w:p w14:paraId="02DF223B">
      <w:pPr>
        <w:shd w:val="clear" w:color="auto" w:fill="auto"/>
        <w:spacing w:line="360" w:lineRule="auto"/>
        <w:ind w:left="300"/>
        <w:jc w:val="left"/>
        <w:textAlignment w:val="center"/>
        <w:rPr>
          <w:sz w:val="21"/>
        </w:rPr>
      </w:pPr>
      <w:r>
        <w:rPr>
          <w:sz w:val="21"/>
        </w:rPr>
        <w:t>A．寒冷环境下，参与体温调节的传出神经中既有躯体运动神经，也有内脏运动神经</w:t>
      </w:r>
    </w:p>
    <w:p w14:paraId="74FFD05D">
      <w:pPr>
        <w:shd w:val="clear" w:color="auto" w:fill="auto"/>
        <w:spacing w:line="360" w:lineRule="auto"/>
        <w:ind w:left="300"/>
        <w:jc w:val="left"/>
        <w:textAlignment w:val="center"/>
        <w:rPr>
          <w:sz w:val="21"/>
        </w:rPr>
      </w:pPr>
      <w:r>
        <w:rPr>
          <w:sz w:val="21"/>
        </w:rPr>
        <w:t>B．寒冷环境下，肾上腺皮质分泌的肾上腺素增加，使代谢活动增强，产热增加</w:t>
      </w:r>
    </w:p>
    <w:p w14:paraId="1E702B7E">
      <w:pPr>
        <w:shd w:val="clear" w:color="auto" w:fill="auto"/>
        <w:spacing w:line="360" w:lineRule="auto"/>
        <w:ind w:left="300"/>
        <w:jc w:val="left"/>
        <w:textAlignment w:val="center"/>
        <w:rPr>
          <w:sz w:val="21"/>
        </w:rPr>
      </w:pPr>
      <w:r>
        <w:rPr>
          <w:sz w:val="21"/>
        </w:rPr>
        <w:t>C．炎热环境下，皮肤血管收缩，汗腺分泌增多，从而增加散热</w:t>
      </w:r>
    </w:p>
    <w:p w14:paraId="648EA7CC">
      <w:pPr>
        <w:shd w:val="clear" w:color="auto" w:fill="auto"/>
        <w:spacing w:line="360" w:lineRule="auto"/>
        <w:ind w:left="300"/>
        <w:jc w:val="left"/>
        <w:textAlignment w:val="center"/>
        <w:rPr>
          <w:sz w:val="21"/>
        </w:rPr>
      </w:pPr>
      <w:r>
        <w:rPr>
          <w:sz w:val="21"/>
        </w:rPr>
        <w:t>D．炎热环境下，若呼吸运动频率和幅度增加过高且持续过久，可导致内环境pH上升</w:t>
      </w:r>
    </w:p>
    <w:p w14:paraId="1D8E785B">
      <w:pPr>
        <w:shd w:val="clear" w:color="auto" w:fill="auto"/>
        <w:spacing w:line="360" w:lineRule="auto"/>
        <w:jc w:val="left"/>
        <w:textAlignment w:val="center"/>
        <w:rPr>
          <w:sz w:val="21"/>
        </w:rPr>
      </w:pPr>
      <w:r>
        <w:rPr>
          <w:sz w:val="21"/>
        </w:rPr>
        <w:t>10．假性醛固酮减少症（PP）患者合成和分泌的醛固酮未减少，但表现出醛固酮缺少所致的渗透压调节异常。下列叙述错误的是（</w:t>
      </w:r>
      <w:r>
        <w:rPr>
          <w:rFonts w:ascii="Times New Roman" w:hAnsi="Times New Roman" w:eastAsia="Times New Roman" w:cs="Times New Roman"/>
          <w:kern w:val="0"/>
          <w:sz w:val="24"/>
          <w:szCs w:val="24"/>
        </w:rPr>
        <w:t>    </w:t>
      </w:r>
      <w:r>
        <w:rPr>
          <w:sz w:val="21"/>
        </w:rPr>
        <w:t>）</w:t>
      </w:r>
    </w:p>
    <w:p w14:paraId="39C626ED">
      <w:pPr>
        <w:shd w:val="clear" w:color="auto" w:fill="auto"/>
        <w:spacing w:line="360" w:lineRule="auto"/>
        <w:ind w:left="380"/>
        <w:jc w:val="left"/>
        <w:textAlignment w:val="center"/>
        <w:rPr>
          <w:sz w:val="21"/>
        </w:rPr>
      </w:pPr>
      <w:r>
        <w:rPr>
          <w:sz w:val="21"/>
        </w:rPr>
        <w:t>A．人体内的</w:t>
      </w:r>
      <w:r>
        <w:object>
          <v:shape id="_x0000_i1025" o:spt="75" alt="eqIdd072177ae1481125f96741e1c53815cc" type="#_x0000_t75" style="height:14.25pt;width:20.2pt;" o:ole="t" filled="f" o:preferrelative="t" stroked="f" coordsize="21600,21600">
            <v:path/>
            <v:fill on="f" focussize="0,0"/>
            <v:stroke on="f" joinstyle="miter"/>
            <v:imagedata r:id="rId10" o:title="eqIdd072177ae1481125f96741e1c53815cc"/>
            <o:lock v:ext="edit" aspectratio="t"/>
            <w10:wrap type="none"/>
            <w10:anchorlock/>
          </v:shape>
          <o:OLEObject Type="Embed" ProgID="Equation.DSMT4" ShapeID="_x0000_i1025" DrawAspect="Content" ObjectID="_1468075725" r:id="rId9">
            <o:LockedField>false</o:LockedField>
          </o:OLEObject>
        </w:object>
      </w:r>
      <w:r>
        <w:rPr>
          <w:sz w:val="21"/>
        </w:rPr>
        <w:t>几乎全部由小肠吸收获取，主要经肾随尿排出</w:t>
      </w:r>
    </w:p>
    <w:p w14:paraId="19C0BB19">
      <w:pPr>
        <w:shd w:val="clear" w:color="auto" w:fill="auto"/>
        <w:spacing w:line="360" w:lineRule="auto"/>
        <w:ind w:left="380"/>
        <w:jc w:val="left"/>
        <w:textAlignment w:val="center"/>
        <w:rPr>
          <w:sz w:val="21"/>
        </w:rPr>
      </w:pPr>
      <w:r>
        <w:rPr>
          <w:sz w:val="21"/>
        </w:rPr>
        <w:t>B．抗利尿激素增多与患PP均可使细胞外液增多</w:t>
      </w:r>
    </w:p>
    <w:p w14:paraId="72317202">
      <w:pPr>
        <w:shd w:val="clear" w:color="auto" w:fill="auto"/>
        <w:spacing w:line="360" w:lineRule="auto"/>
        <w:ind w:left="380"/>
        <w:jc w:val="left"/>
        <w:textAlignment w:val="center"/>
        <w:rPr>
          <w:sz w:val="21"/>
        </w:rPr>
      </w:pPr>
      <w:r>
        <w:rPr>
          <w:sz w:val="21"/>
        </w:rPr>
        <w:t>C．血钠含量降低可使肾上腺合成的醛固酮减少</w:t>
      </w:r>
    </w:p>
    <w:p w14:paraId="1E4D7B77">
      <w:pPr>
        <w:shd w:val="clear" w:color="auto" w:fill="auto"/>
        <w:spacing w:line="360" w:lineRule="auto"/>
        <w:ind w:left="380"/>
        <w:jc w:val="left"/>
        <w:textAlignment w:val="center"/>
        <w:rPr>
          <w:sz w:val="21"/>
        </w:rPr>
      </w:pPr>
      <w:r>
        <w:rPr>
          <w:sz w:val="21"/>
        </w:rPr>
        <w:t>D．PP患者的病因可能是肾小管和集合管对</w:t>
      </w:r>
      <w:r>
        <w:object>
          <v:shape id="_x0000_i1026" o:spt="75" alt="eqIdd072177ae1481125f96741e1c53815cc" type="#_x0000_t75" style="height:14.25pt;width:20.2pt;" o:ole="t" filled="f" o:preferrelative="t" stroked="f" coordsize="21600,21600">
            <v:path/>
            <v:fill on="f" focussize="0,0"/>
            <v:stroke on="f" joinstyle="miter"/>
            <v:imagedata r:id="rId10" o:title="eqIdd072177ae1481125f96741e1c53815cc"/>
            <o:lock v:ext="edit" aspectratio="t"/>
            <w10:wrap type="none"/>
            <w10:anchorlock/>
          </v:shape>
          <o:OLEObject Type="Embed" ProgID="Equation.DSMT4" ShapeID="_x0000_i1026" DrawAspect="Content" ObjectID="_1468075726" r:id="rId11">
            <o:LockedField>false</o:LockedField>
          </o:OLEObject>
        </w:object>
      </w:r>
      <w:r>
        <w:rPr>
          <w:sz w:val="21"/>
        </w:rPr>
        <w:t>的转运异常</w:t>
      </w:r>
    </w:p>
    <w:p w14:paraId="31C60763">
      <w:pPr>
        <w:shd w:val="clear" w:color="auto" w:fill="auto"/>
        <w:spacing w:line="360" w:lineRule="auto"/>
        <w:jc w:val="left"/>
        <w:textAlignment w:val="center"/>
        <w:rPr>
          <w:sz w:val="21"/>
        </w:rPr>
      </w:pPr>
      <w:r>
        <w:rPr>
          <w:sz w:val="21"/>
        </w:rPr>
        <w:t>11．为研究CO</w:t>
      </w:r>
      <w:r>
        <w:rPr>
          <w:sz w:val="21"/>
          <w:vertAlign w:val="subscript"/>
        </w:rPr>
        <w:t>2</w:t>
      </w:r>
      <w:r>
        <w:rPr>
          <w:sz w:val="21"/>
        </w:rPr>
        <w:t>，O</w:t>
      </w:r>
      <w:r>
        <w:rPr>
          <w:sz w:val="21"/>
          <w:vertAlign w:val="subscript"/>
        </w:rPr>
        <w:t>2</w:t>
      </w:r>
      <w:r>
        <w:rPr>
          <w:sz w:val="21"/>
        </w:rPr>
        <w:t>和H</w:t>
      </w:r>
      <w:r>
        <w:rPr>
          <w:sz w:val="21"/>
          <w:vertAlign w:val="superscript"/>
        </w:rPr>
        <w:t>+</w:t>
      </w:r>
      <w:r>
        <w:rPr>
          <w:sz w:val="21"/>
        </w:rPr>
        <w:t>对呼吸运动的作用（以肺泡通气为检测指标）及其相互影响，进行了相关实验。动脉血中CO</w:t>
      </w:r>
      <w:r>
        <w:rPr>
          <w:sz w:val="21"/>
          <w:vertAlign w:val="subscript"/>
        </w:rPr>
        <w:t>2</w:t>
      </w:r>
      <w:r>
        <w:rPr>
          <w:sz w:val="21"/>
        </w:rPr>
        <w:t>分压（PCO</w:t>
      </w:r>
      <w:r>
        <w:rPr>
          <w:sz w:val="21"/>
          <w:vertAlign w:val="subscript"/>
        </w:rPr>
        <w:t>2</w:t>
      </w:r>
      <w:r>
        <w:rPr>
          <w:sz w:val="21"/>
        </w:rPr>
        <w:t>）、O</w:t>
      </w:r>
      <w:r>
        <w:rPr>
          <w:sz w:val="21"/>
          <w:vertAlign w:val="subscript"/>
        </w:rPr>
        <w:t>2</w:t>
      </w:r>
      <w:r>
        <w:rPr>
          <w:sz w:val="21"/>
        </w:rPr>
        <w:t>分压（PO</w:t>
      </w:r>
      <w:r>
        <w:rPr>
          <w:sz w:val="21"/>
          <w:vertAlign w:val="subscript"/>
        </w:rPr>
        <w:t>2</w:t>
      </w:r>
      <w:r>
        <w:rPr>
          <w:sz w:val="21"/>
        </w:rPr>
        <w:t>）和H</w:t>
      </w:r>
      <w:r>
        <w:rPr>
          <w:sz w:val="21"/>
          <w:vertAlign w:val="superscript"/>
        </w:rPr>
        <w:t>+</w:t>
      </w:r>
      <w:r>
        <w:rPr>
          <w:sz w:val="21"/>
        </w:rPr>
        <w:t>浓度三个因素中，一个改变而另两个保持正常时的肺泡通气效应如图a，一个改变而另两个不加控制时的肺泡通气效应如图b。下列叙述正确的是（　　）</w:t>
      </w:r>
    </w:p>
    <w:p w14:paraId="136B9B72">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248150" cy="1496695"/>
            <wp:effectExtent l="0" t="0" r="0" b="8255"/>
            <wp:docPr id="100009" name="图片 100009" descr="@@@01742b13-6e7d-4bda-a406-eb9efb6573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01742b13-6e7d-4bda-a406-eb9efb65735e"/>
                    <pic:cNvPicPr>
                      <a:picLocks noChangeAspect="1"/>
                    </pic:cNvPicPr>
                  </pic:nvPicPr>
                  <pic:blipFill>
                    <a:blip r:embed="rId12"/>
                    <a:stretch>
                      <a:fillRect/>
                    </a:stretch>
                  </pic:blipFill>
                  <pic:spPr>
                    <a:xfrm>
                      <a:off x="0" y="0"/>
                      <a:ext cx="4248150" cy="1496695"/>
                    </a:xfrm>
                    <a:prstGeom prst="rect">
                      <a:avLst/>
                    </a:prstGeom>
                  </pic:spPr>
                </pic:pic>
              </a:graphicData>
            </a:graphic>
          </wp:inline>
        </w:drawing>
      </w:r>
    </w:p>
    <w:p w14:paraId="3136E005">
      <w:pPr>
        <w:shd w:val="clear" w:color="auto" w:fill="auto"/>
        <w:spacing w:line="360" w:lineRule="auto"/>
        <w:ind w:left="380"/>
        <w:jc w:val="left"/>
        <w:textAlignment w:val="center"/>
        <w:rPr>
          <w:sz w:val="21"/>
        </w:rPr>
      </w:pPr>
      <w:r>
        <w:rPr>
          <w:sz w:val="21"/>
        </w:rPr>
        <w:t>A．一定范围内，增加PCO</w:t>
      </w:r>
      <w:r>
        <w:rPr>
          <w:sz w:val="21"/>
          <w:vertAlign w:val="subscript"/>
        </w:rPr>
        <w:t>2</w:t>
      </w:r>
      <w:r>
        <w:rPr>
          <w:sz w:val="21"/>
        </w:rPr>
        <w:t>、H</w:t>
      </w:r>
      <w:r>
        <w:rPr>
          <w:sz w:val="21"/>
          <w:vertAlign w:val="superscript"/>
        </w:rPr>
        <w:t>+</w:t>
      </w:r>
      <w:r>
        <w:rPr>
          <w:sz w:val="21"/>
        </w:rPr>
        <w:t>浓度和PO</w:t>
      </w:r>
      <w:r>
        <w:rPr>
          <w:sz w:val="21"/>
          <w:vertAlign w:val="subscript"/>
        </w:rPr>
        <w:t>2</w:t>
      </w:r>
      <w:r>
        <w:rPr>
          <w:sz w:val="21"/>
        </w:rPr>
        <w:t>均能增强呼吸运动</w:t>
      </w:r>
    </w:p>
    <w:p w14:paraId="6E22080B">
      <w:pPr>
        <w:shd w:val="clear" w:color="auto" w:fill="auto"/>
        <w:spacing w:line="360" w:lineRule="auto"/>
        <w:ind w:left="380"/>
        <w:jc w:val="left"/>
        <w:textAlignment w:val="center"/>
        <w:rPr>
          <w:sz w:val="21"/>
        </w:rPr>
      </w:pPr>
      <w:r>
        <w:rPr>
          <w:sz w:val="21"/>
        </w:rPr>
        <w:t>B．pH由7.4下降至7.1的过程中，PCO</w:t>
      </w:r>
      <w:r>
        <w:rPr>
          <w:sz w:val="21"/>
          <w:vertAlign w:val="subscript"/>
        </w:rPr>
        <w:t>2</w:t>
      </w:r>
      <w:r>
        <w:rPr>
          <w:sz w:val="21"/>
        </w:rPr>
        <w:t>逐渐降低</w:t>
      </w:r>
    </w:p>
    <w:p w14:paraId="6979067A">
      <w:pPr>
        <w:shd w:val="clear" w:color="auto" w:fill="auto"/>
        <w:spacing w:line="360" w:lineRule="auto"/>
        <w:ind w:left="380"/>
        <w:jc w:val="left"/>
        <w:textAlignment w:val="center"/>
        <w:rPr>
          <w:sz w:val="21"/>
        </w:rPr>
      </w:pPr>
      <w:r>
        <w:rPr>
          <w:sz w:val="21"/>
        </w:rPr>
        <w:t>C．PO</w:t>
      </w:r>
      <w:r>
        <w:rPr>
          <w:sz w:val="21"/>
          <w:vertAlign w:val="subscript"/>
        </w:rPr>
        <w:t>2</w:t>
      </w:r>
      <w:r>
        <w:rPr>
          <w:sz w:val="21"/>
        </w:rPr>
        <w:t>由60mmHg下降至40mmHg的过程中，PCO</w:t>
      </w:r>
      <w:r>
        <w:rPr>
          <w:sz w:val="21"/>
          <w:vertAlign w:val="subscript"/>
        </w:rPr>
        <w:t>2</w:t>
      </w:r>
      <w:r>
        <w:rPr>
          <w:sz w:val="21"/>
        </w:rPr>
        <w:t>和H</w:t>
      </w:r>
      <w:r>
        <w:rPr>
          <w:sz w:val="21"/>
          <w:vertAlign w:val="superscript"/>
        </w:rPr>
        <w:t>+</w:t>
      </w:r>
      <w:r>
        <w:rPr>
          <w:sz w:val="21"/>
        </w:rPr>
        <w:t>浓度逐渐降低</w:t>
      </w:r>
    </w:p>
    <w:p w14:paraId="2D21CD9A">
      <w:pPr>
        <w:shd w:val="clear" w:color="auto" w:fill="auto"/>
        <w:spacing w:line="360" w:lineRule="auto"/>
        <w:ind w:left="380"/>
        <w:jc w:val="left"/>
        <w:textAlignment w:val="center"/>
        <w:rPr>
          <w:sz w:val="21"/>
        </w:rPr>
      </w:pPr>
      <w:r>
        <w:rPr>
          <w:sz w:val="21"/>
        </w:rPr>
        <w:t>D．CO</w:t>
      </w:r>
      <w:r>
        <w:rPr>
          <w:sz w:val="21"/>
          <w:vertAlign w:val="subscript"/>
        </w:rPr>
        <w:t>2</w:t>
      </w:r>
      <w:r>
        <w:rPr>
          <w:sz w:val="21"/>
        </w:rPr>
        <w:t>作用于相关感受器，通过体液调节对呼吸运动进行调控</w:t>
      </w:r>
    </w:p>
    <w:p w14:paraId="65E5D974">
      <w:pPr>
        <w:shd w:val="clear" w:color="auto" w:fill="auto"/>
        <w:spacing w:line="360" w:lineRule="auto"/>
        <w:jc w:val="left"/>
        <w:textAlignment w:val="center"/>
        <w:rPr>
          <w:sz w:val="21"/>
        </w:rPr>
      </w:pPr>
      <w:r>
        <w:rPr>
          <w:sz w:val="21"/>
        </w:rPr>
        <w:t>12．迷走神经是与脑干相连的脑神经，对胃肠的蠕动和消化腺的分泌活动起促进作用，还可通过一系列过程产生抗炎效应，如图所示。下列说法正确的是（</w:t>
      </w:r>
      <w:r>
        <w:rPr>
          <w:rFonts w:ascii="Times New Roman" w:hAnsi="Times New Roman" w:eastAsia="Times New Roman" w:cs="Times New Roman"/>
          <w:kern w:val="0"/>
          <w:sz w:val="24"/>
          <w:szCs w:val="24"/>
        </w:rPr>
        <w:t>    </w:t>
      </w:r>
      <w:r>
        <w:rPr>
          <w:sz w:val="21"/>
        </w:rPr>
        <w:t>）</w:t>
      </w:r>
    </w:p>
    <w:p w14:paraId="7D7D0C15">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629025" cy="1400810"/>
            <wp:effectExtent l="0" t="0" r="9525" b="8890"/>
            <wp:docPr id="100011" name="图片 100011" descr="@@@0e903a25-1058-49bd-9c4c-8875de7834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0e903a25-1058-49bd-9c4c-8875de7834ed"/>
                    <pic:cNvPicPr>
                      <a:picLocks noChangeAspect="1"/>
                    </pic:cNvPicPr>
                  </pic:nvPicPr>
                  <pic:blipFill>
                    <a:blip r:embed="rId13"/>
                    <a:stretch>
                      <a:fillRect/>
                    </a:stretch>
                  </pic:blipFill>
                  <pic:spPr>
                    <a:xfrm>
                      <a:off x="0" y="0"/>
                      <a:ext cx="3629025" cy="1400810"/>
                    </a:xfrm>
                    <a:prstGeom prst="rect">
                      <a:avLst/>
                    </a:prstGeom>
                  </pic:spPr>
                </pic:pic>
              </a:graphicData>
            </a:graphic>
          </wp:inline>
        </w:drawing>
      </w:r>
    </w:p>
    <w:p w14:paraId="67BA5AB0">
      <w:pPr>
        <w:shd w:val="clear" w:color="auto" w:fill="auto"/>
        <w:spacing w:line="360" w:lineRule="auto"/>
        <w:ind w:left="380"/>
        <w:jc w:val="left"/>
        <w:textAlignment w:val="center"/>
        <w:rPr>
          <w:sz w:val="21"/>
        </w:rPr>
      </w:pPr>
      <w:r>
        <w:rPr>
          <w:sz w:val="21"/>
        </w:rPr>
        <w:t>A．迷走神经末梢通过突触作用于肠巨噬细胞</w:t>
      </w:r>
    </w:p>
    <w:p w14:paraId="615C79BB">
      <w:pPr>
        <w:shd w:val="clear" w:color="auto" w:fill="auto"/>
        <w:spacing w:line="360" w:lineRule="auto"/>
        <w:ind w:left="380"/>
        <w:jc w:val="left"/>
        <w:textAlignment w:val="center"/>
        <w:rPr>
          <w:sz w:val="21"/>
        </w:rPr>
      </w:pPr>
      <w:r>
        <w:rPr>
          <w:sz w:val="21"/>
        </w:rPr>
        <w:t>B．消化液中的盐酸刺激胰腺产生促胰液素，促进胰液分泌，进而促进消化</w:t>
      </w:r>
    </w:p>
    <w:p w14:paraId="189BAA06">
      <w:pPr>
        <w:shd w:val="clear" w:color="auto" w:fill="auto"/>
        <w:spacing w:line="360" w:lineRule="auto"/>
        <w:ind w:left="380"/>
        <w:jc w:val="left"/>
        <w:textAlignment w:val="center"/>
        <w:rPr>
          <w:sz w:val="21"/>
        </w:rPr>
      </w:pPr>
      <w:r>
        <w:rPr>
          <w:sz w:val="21"/>
        </w:rPr>
        <w:t>C．乙酰胆碱与N受体结合并形成递质-受体复合物，催化肠巨噬细胞代谢</w:t>
      </w:r>
    </w:p>
    <w:p w14:paraId="6311508D">
      <w:pPr>
        <w:shd w:val="clear" w:color="auto" w:fill="auto"/>
        <w:spacing w:line="360" w:lineRule="auto"/>
        <w:ind w:left="380"/>
        <w:jc w:val="left"/>
        <w:textAlignment w:val="center"/>
        <w:rPr>
          <w:rFonts w:ascii="黑体" w:hAnsi="黑体" w:eastAsia="黑体" w:cs="黑体"/>
          <w:b/>
          <w:i w:val="0"/>
          <w:color w:val="000000"/>
          <w:sz w:val="30"/>
        </w:rPr>
      </w:pPr>
      <w:r>
        <w:rPr>
          <w:sz w:val="21"/>
        </w:rPr>
        <w:t>D．当与N受体结合的乙酰胆碱减少时，能增强机体炎症反应</w:t>
      </w:r>
    </w:p>
    <w:p w14:paraId="05B316BB">
      <w:pPr>
        <w:jc w:val="left"/>
        <w:textAlignment w:val="center"/>
        <w:rPr>
          <w:rFonts w:ascii="宋体" w:hAnsi="宋体" w:eastAsia="宋体" w:cs="宋体"/>
          <w:b/>
          <w:i w:val="0"/>
          <w:color w:val="000000"/>
          <w:sz w:val="21"/>
        </w:rPr>
      </w:pPr>
      <w:r>
        <w:rPr>
          <w:rFonts w:ascii="宋体" w:hAnsi="宋体" w:eastAsia="宋体" w:cs="宋体"/>
          <w:b/>
          <w:i w:val="0"/>
          <w:color w:val="000000"/>
          <w:sz w:val="21"/>
        </w:rPr>
        <w:t>三、非选择题</w:t>
      </w:r>
    </w:p>
    <w:p w14:paraId="22F7E376">
      <w:pPr>
        <w:shd w:val="clear" w:color="auto" w:fill="auto"/>
        <w:spacing w:line="360" w:lineRule="auto"/>
        <w:jc w:val="left"/>
        <w:textAlignment w:val="center"/>
        <w:rPr>
          <w:sz w:val="21"/>
        </w:rPr>
      </w:pPr>
      <w:r>
        <w:rPr>
          <w:sz w:val="21"/>
        </w:rPr>
        <w:t>13．研究显示，糖尿病患者由于大脑海马神经元中蛋白Tau过度磷酸化，导致记忆力减退。细胞自噬能促进过度磷酸化的蛋白Tau降解，该过程受蛋白激酶cPKCγ的调控。为探究相关机理，以小鼠等为材料进行了以下实验。</w:t>
      </w:r>
    </w:p>
    <w:p w14:paraId="1D90B5EB">
      <w:pPr>
        <w:shd w:val="clear" w:color="auto" w:fill="auto"/>
        <w:spacing w:line="360" w:lineRule="auto"/>
        <w:jc w:val="left"/>
        <w:textAlignment w:val="center"/>
        <w:rPr>
          <w:sz w:val="21"/>
        </w:rPr>
      </w:pPr>
      <w:r>
        <w:rPr>
          <w:sz w:val="21"/>
        </w:rPr>
        <w:t>实验I：探究高糖环境和蛋白激酶cPKCγ对离体小鼠海马神经元自噬的影响。配制含有5mmol/L葡萄糖的培养液模拟正常小鼠的体液环境。将各组细胞分别置于等量培养液中，A组培养液不处理，B组培养液中加入75mmol/L的X试剂1mL，C组培养液中加入75mmol/L葡萄糖溶液1mL。实验结果见图甲。</w:t>
      </w:r>
    </w:p>
    <w:p w14:paraId="10669151">
      <w:pPr>
        <w:shd w:val="clear" w:color="auto" w:fill="auto"/>
        <w:spacing w:line="360" w:lineRule="auto"/>
        <w:jc w:val="left"/>
        <w:textAlignment w:val="center"/>
        <w:rPr>
          <w:sz w:val="21"/>
        </w:rPr>
      </w:pPr>
      <w:r>
        <w:rPr>
          <w:sz w:val="21"/>
        </w:rPr>
        <w:t>实验Ⅱ：通过水迷宫实验检测小鼠的记忆能力，连续5天测量4组小鼠的逃避潜伏期，结果见图乙。逃避潜伏期与记忆能力呈负相关，实验中的糖尿病记忆力减退模型小鼠（TD小鼠）通过注射药物STZ制备。</w:t>
      </w:r>
    </w:p>
    <w:p w14:paraId="7FAEE6A3">
      <w:pPr>
        <w:shd w:val="clear" w:color="auto" w:fill="auto"/>
        <w:spacing w:line="360" w:lineRule="auto"/>
        <w:jc w:val="both"/>
        <w:textAlignment w:val="center"/>
        <w:rPr>
          <w:sz w:val="21"/>
        </w:rPr>
      </w:pPr>
      <w:r>
        <w:rPr>
          <w:sz w:val="21"/>
        </w:rPr>
        <w:t xml:space="preserve"> </w:t>
      </w:r>
      <w:r>
        <w:rPr>
          <w:rFonts w:ascii="Times New Roman" w:hAnsi="Times New Roman" w:eastAsia="Times New Roman" w:cs="Times New Roman"/>
          <w:strike w:val="0"/>
          <w:kern w:val="0"/>
          <w:sz w:val="24"/>
          <w:szCs w:val="24"/>
          <w:u w:val="none"/>
        </w:rPr>
        <w:drawing>
          <wp:inline distT="0" distB="0" distL="114300" distR="114300">
            <wp:extent cx="2838450" cy="1060450"/>
            <wp:effectExtent l="0" t="0" r="0" b="6350"/>
            <wp:docPr id="100013" name="图片 100013" descr="@@@872aeb58-b742-410c-98e9-29ca322fd8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872aeb58-b742-410c-98e9-29ca322fd8d3"/>
                    <pic:cNvPicPr>
                      <a:picLocks noChangeAspect="1"/>
                    </pic:cNvPicPr>
                  </pic:nvPicPr>
                  <pic:blipFill>
                    <a:blip r:embed="rId14"/>
                    <a:stretch>
                      <a:fillRect/>
                    </a:stretch>
                  </pic:blipFill>
                  <pic:spPr>
                    <a:xfrm>
                      <a:off x="0" y="0"/>
                      <a:ext cx="2838450" cy="1060450"/>
                    </a:xfrm>
                    <a:prstGeom prst="rect">
                      <a:avLst/>
                    </a:prstGeom>
                  </pic:spPr>
                </pic:pic>
              </a:graphicData>
            </a:graphic>
          </wp:inline>
        </w:drawing>
      </w:r>
      <w:r>
        <w:rPr>
          <w:rFonts w:ascii="Times New Roman" w:hAnsi="Times New Roman" w:eastAsia="Times New Roman" w:cs="Times New Roman"/>
          <w:strike w:val="0"/>
          <w:kern w:val="0"/>
          <w:sz w:val="24"/>
          <w:szCs w:val="24"/>
          <w:u w:val="none"/>
        </w:rPr>
        <w:drawing>
          <wp:inline distT="0" distB="0" distL="114300" distR="114300">
            <wp:extent cx="1825625" cy="1343025"/>
            <wp:effectExtent l="0" t="0" r="3175" b="9525"/>
            <wp:docPr id="100015" name="图片 100015" descr="@@@0a090341-6abd-4cf8-9649-0c2eee1f73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0a090341-6abd-4cf8-9649-0c2eee1f73af"/>
                    <pic:cNvPicPr>
                      <a:picLocks noChangeAspect="1"/>
                    </pic:cNvPicPr>
                  </pic:nvPicPr>
                  <pic:blipFill>
                    <a:blip r:embed="rId15"/>
                    <a:stretch>
                      <a:fillRect/>
                    </a:stretch>
                  </pic:blipFill>
                  <pic:spPr>
                    <a:xfrm>
                      <a:off x="0" y="0"/>
                      <a:ext cx="1825625" cy="1343025"/>
                    </a:xfrm>
                    <a:prstGeom prst="rect">
                      <a:avLst/>
                    </a:prstGeom>
                  </pic:spPr>
                </pic:pic>
              </a:graphicData>
            </a:graphic>
          </wp:inline>
        </w:drawing>
      </w:r>
      <w:r>
        <w:rPr>
          <w:rFonts w:ascii="Times New Roman" w:hAnsi="Times New Roman" w:eastAsia="Times New Roman" w:cs="Times New Roman"/>
          <w:kern w:val="0"/>
          <w:sz w:val="24"/>
          <w:szCs w:val="24"/>
        </w:rPr>
        <w:t>  </w:t>
      </w:r>
    </w:p>
    <w:p w14:paraId="0EB30122">
      <w:pPr>
        <w:shd w:val="clear" w:color="auto" w:fill="auto"/>
        <w:spacing w:line="360" w:lineRule="auto"/>
        <w:jc w:val="left"/>
        <w:textAlignment w:val="center"/>
        <w:rPr>
          <w:sz w:val="21"/>
        </w:rPr>
      </w:pPr>
      <w:r>
        <w:rPr>
          <w:sz w:val="21"/>
        </w:rPr>
        <w:t>(1)人体中血糖的来源有</w:t>
      </w:r>
      <w:r>
        <w:rPr>
          <w:rFonts w:ascii="Times New Roman" w:hAnsi="Times New Roman" w:eastAsia="Times New Roman" w:cs="Times New Roman"/>
          <w:b w:val="0"/>
          <w:sz w:val="21"/>
          <w:u w:val="single"/>
        </w:rPr>
        <w:t xml:space="preserve">        </w:t>
      </w:r>
      <w:r>
        <w:rPr>
          <w:sz w:val="21"/>
        </w:rPr>
        <w:t>（答出2个方面的来源即可）。已知STZ是通过破坏某种细胞引起了小鼠血糖升高，据此推测，这种细胞是</w:t>
      </w:r>
      <w:r>
        <w:rPr>
          <w:rFonts w:ascii="Times New Roman" w:hAnsi="Times New Roman" w:eastAsia="Times New Roman" w:cs="Times New Roman"/>
          <w:b w:val="0"/>
          <w:sz w:val="21"/>
          <w:u w:val="single"/>
        </w:rPr>
        <w:t xml:space="preserve">          </w:t>
      </w:r>
      <w:r>
        <w:rPr>
          <w:sz w:val="21"/>
        </w:rPr>
        <w:t>。</w:t>
      </w:r>
    </w:p>
    <w:p w14:paraId="67416CF0">
      <w:pPr>
        <w:shd w:val="clear" w:color="auto" w:fill="auto"/>
        <w:spacing w:line="360" w:lineRule="auto"/>
        <w:jc w:val="left"/>
        <w:textAlignment w:val="center"/>
        <w:rPr>
          <w:sz w:val="21"/>
        </w:rPr>
      </w:pPr>
      <w:r>
        <w:rPr>
          <w:sz w:val="21"/>
        </w:rPr>
        <w:t>(2)实验I的C组中，在含5mmol/L葡萄糖的培养液中加入75mmol/L葡萄糖溶液后，细胞吸水、体积变大，说明加入该浓度葡萄糖溶液后培养液的渗透压</w:t>
      </w:r>
      <w:r>
        <w:rPr>
          <w:rFonts w:ascii="Times New Roman" w:hAnsi="Times New Roman" w:eastAsia="Times New Roman" w:cs="Times New Roman"/>
          <w:b w:val="0"/>
          <w:sz w:val="21"/>
          <w:u w:val="single"/>
        </w:rPr>
        <w:t xml:space="preserve">          </w:t>
      </w:r>
      <w:r>
        <w:rPr>
          <w:sz w:val="21"/>
        </w:rPr>
        <w:t>（填“升高”或“降低”），B组实验结果可说明渗透压的变化对C组结果</w:t>
      </w:r>
      <w:r>
        <w:rPr>
          <w:rFonts w:ascii="Times New Roman" w:hAnsi="Times New Roman" w:eastAsia="Times New Roman" w:cs="Times New Roman"/>
          <w:b w:val="0"/>
          <w:sz w:val="21"/>
          <w:u w:val="single"/>
        </w:rPr>
        <w:t xml:space="preserve">          </w:t>
      </w:r>
      <w:r>
        <w:rPr>
          <w:sz w:val="21"/>
        </w:rPr>
        <w:t>（填“有”或“没有”）干扰。图甲中A组和C组的实验结果说明蛋白激酶cPKCγ对海马神经元自噬水平的影响是</w:t>
      </w:r>
      <w:r>
        <w:rPr>
          <w:rFonts w:ascii="Times New Roman" w:hAnsi="Times New Roman" w:eastAsia="Times New Roman" w:cs="Times New Roman"/>
          <w:b w:val="0"/>
          <w:sz w:val="21"/>
          <w:u w:val="single"/>
        </w:rPr>
        <w:t xml:space="preserve">           </w:t>
      </w:r>
    </w:p>
    <w:p w14:paraId="6AE4E00E">
      <w:pPr>
        <w:shd w:val="clear" w:color="auto" w:fill="auto"/>
        <w:spacing w:line="360" w:lineRule="auto"/>
        <w:jc w:val="left"/>
        <w:textAlignment w:val="center"/>
        <w:rPr>
          <w:sz w:val="21"/>
        </w:rPr>
      </w:pPr>
      <w:r>
        <w:rPr>
          <w:sz w:val="21"/>
        </w:rPr>
        <w:t>(3)图乙中a、b两条曲线所对应的实验动物分别是</w:t>
      </w:r>
      <w:r>
        <w:rPr>
          <w:rFonts w:ascii="Times New Roman" w:hAnsi="Times New Roman" w:eastAsia="Times New Roman" w:cs="Times New Roman"/>
          <w:b w:val="0"/>
          <w:sz w:val="21"/>
          <w:u w:val="single"/>
        </w:rPr>
        <w:t xml:space="preserve">            </w:t>
      </w:r>
      <w:r>
        <w:rPr>
          <w:sz w:val="21"/>
        </w:rPr>
        <w:t>（填标号）。</w:t>
      </w:r>
    </w:p>
    <w:p w14:paraId="35DF7FDD">
      <w:pPr>
        <w:shd w:val="clear" w:color="auto" w:fill="auto"/>
        <w:spacing w:line="360" w:lineRule="auto"/>
        <w:jc w:val="left"/>
        <w:textAlignment w:val="center"/>
        <w:rPr>
          <w:sz w:val="21"/>
        </w:rPr>
      </w:pPr>
      <w:r>
        <w:rPr>
          <w:sz w:val="21"/>
        </w:rPr>
        <w:t>①正常小鼠</w:t>
      </w:r>
      <w:r>
        <w:rPr>
          <w:rFonts w:ascii="Times New Roman" w:hAnsi="Times New Roman" w:eastAsia="Times New Roman" w:cs="Times New Roman"/>
          <w:kern w:val="0"/>
          <w:sz w:val="24"/>
          <w:szCs w:val="24"/>
        </w:rPr>
        <w:t>    </w:t>
      </w:r>
      <w:r>
        <w:rPr>
          <w:sz w:val="21"/>
        </w:rPr>
        <w:t>②敲除cPKCγ基因的小鼠</w:t>
      </w:r>
      <w:r>
        <w:rPr>
          <w:rFonts w:ascii="Times New Roman" w:hAnsi="Times New Roman" w:eastAsia="Times New Roman" w:cs="Times New Roman"/>
          <w:kern w:val="0"/>
          <w:sz w:val="24"/>
          <w:szCs w:val="24"/>
        </w:rPr>
        <w:t>  </w:t>
      </w:r>
      <w:r>
        <w:rPr>
          <w:sz w:val="21"/>
        </w:rPr>
        <w:t>③TD小鼠</w:t>
      </w:r>
      <w:r>
        <w:rPr>
          <w:rFonts w:ascii="Times New Roman" w:hAnsi="Times New Roman" w:eastAsia="Times New Roman" w:cs="Times New Roman"/>
          <w:kern w:val="0"/>
          <w:sz w:val="24"/>
          <w:szCs w:val="24"/>
        </w:rPr>
        <w:t>    </w:t>
      </w:r>
      <w:r>
        <w:rPr>
          <w:sz w:val="21"/>
        </w:rPr>
        <w:t>④敲除cPKCγ基因的TD小鼠</w:t>
      </w:r>
    </w:p>
    <w:p w14:paraId="5E2814D5">
      <w:pPr>
        <w:shd w:val="clear" w:color="auto" w:fill="auto"/>
        <w:spacing w:line="360" w:lineRule="auto"/>
        <w:jc w:val="left"/>
        <w:textAlignment w:val="center"/>
        <w:rPr>
          <w:rFonts w:hint="default"/>
          <w:sz w:val="32"/>
          <w:szCs w:val="32"/>
          <w:lang w:val="en-US" w:eastAsia="zh-CN"/>
        </w:rPr>
      </w:pPr>
      <w:r>
        <w:rPr>
          <w:sz w:val="21"/>
        </w:rPr>
        <w:t>(4)对TD小鼠进行干预后，小鼠的记忆能力得到显著提高。基于本研究，写出2种可能的干预思路：</w:t>
      </w:r>
      <w:r>
        <w:rPr>
          <w:rFonts w:ascii="Times New Roman" w:hAnsi="Times New Roman" w:eastAsia="Times New Roman" w:cs="Times New Roman"/>
          <w:b w:val="0"/>
          <w:sz w:val="21"/>
          <w:u w:val="single"/>
        </w:rPr>
        <w:t xml:space="preserve">      </w:t>
      </w:r>
      <w:r>
        <w:rPr>
          <w:sz w:val="21"/>
        </w:rPr>
        <w:t>。</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decorative"/>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93637">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横峰中学学生寒假作业（生物） 编号：hfzx （2） 使用时间:2025.1.25 编写人：汪帅 审核人：朱知渊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8A2AF2"/>
    <w:multiLevelType w:val="singleLevel"/>
    <w:tmpl w:val="DB8A2AF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18EA07E2"/>
    <w:rsid w:val="1E150B13"/>
    <w:rsid w:val="238C4FCD"/>
    <w:rsid w:val="24997787"/>
    <w:rsid w:val="30D50061"/>
    <w:rsid w:val="34C777CA"/>
    <w:rsid w:val="42984EF4"/>
    <w:rsid w:val="43A66DE0"/>
    <w:rsid w:val="4DC90020"/>
    <w:rsid w:val="4E8956D1"/>
    <w:rsid w:val="63395A57"/>
    <w:rsid w:val="6AA560E6"/>
    <w:rsid w:val="6BAD0FCB"/>
    <w:rsid w:val="74273CFD"/>
    <w:rsid w:val="7D795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List Paragraph"/>
    <w:basedOn w:val="1"/>
    <w:qFormat/>
    <w:uiPriority w:val="0"/>
    <w:pPr>
      <w:adjustRightInd/>
      <w:spacing w:line="240" w:lineRule="auto"/>
      <w:ind w:firstLine="420" w:firstLineChars="200"/>
      <w:textAlignment w:val="auto"/>
    </w:pPr>
    <w:rPr>
      <w:rFonts w:ascii="Calibri" w:hAnsi="Calibri"/>
      <w:kern w:val="2"/>
      <w:szCs w:val="22"/>
    </w:rPr>
  </w:style>
  <w:style w:type="paragraph" w:customStyle="1" w:styleId="9">
    <w:name w:val="小一号正文"/>
    <w:basedOn w:val="1"/>
    <w:qFormat/>
    <w:uiPriority w:val="0"/>
    <w:pPr>
      <w:spacing w:line="360" w:lineRule="auto"/>
    </w:pPr>
    <w:rPr>
      <w:rFonts w:asciiTheme="minorEastAsia" w:hAnsiTheme="minorEastAsia" w:eastAsiaTheme="minorEastAsia"/>
      <w:sz w:val="22"/>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oleObject" Target="embeddings/oleObject2.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3768</Words>
  <Characters>3972</Characters>
  <Lines>0</Lines>
  <Paragraphs>0</Paragraphs>
  <TotalTime>4</TotalTime>
  <ScaleCrop>false</ScaleCrop>
  <LinksUpToDate>false</LinksUpToDate>
  <CharactersWithSpaces>4221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W.S</cp:lastModifiedBy>
  <dcterms:modified xsi:type="dcterms:W3CDTF">2025-01-14T01:17:11Z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65F2A9867A6B451F9D42496D9E48DE9E_12</vt:lpwstr>
  </property>
  <property fmtid="{D5CDD505-2E9C-101B-9397-08002B2CF9AE}" pid="4" name="KSOTemplateDocerSaveRecord">
    <vt:lpwstr>eyJoZGlkIjoiY2VhNmFlOGJmNjI4ZDZlNjQ5ZDE1OWVmMzU0N2E0YzIiLCJ1c2VySWQiOiI5ODI4MDM2NDAifQ==</vt:lpwstr>
  </property>
</Properties>
</file>