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EB6D04">
      <w:pPr>
        <w:numPr>
          <w:ilvl w:val="0"/>
          <w:numId w:val="0"/>
        </w:numPr>
        <w:ind w:firstLine="320" w:firstLineChars="100"/>
        <w:rPr>
          <w:rFonts w:hint="default"/>
          <w:sz w:val="24"/>
          <w:szCs w:val="24"/>
          <w:lang w:val="en-US" w:eastAsia="zh-CN"/>
        </w:rPr>
      </w:pPr>
      <w:r>
        <w:rPr>
          <w:rFonts w:hint="eastAsia"/>
          <w:sz w:val="32"/>
          <w:szCs w:val="32"/>
          <w:lang w:val="en-US" w:eastAsia="zh-CN"/>
        </w:rPr>
        <w:t xml:space="preserve">生物学科寒假作业（复习）   Day 11   </w:t>
      </w:r>
      <w:r>
        <w:rPr>
          <w:rFonts w:hint="eastAsia"/>
          <w:sz w:val="24"/>
          <w:szCs w:val="24"/>
          <w:lang w:val="en-US" w:eastAsia="zh-CN"/>
        </w:rPr>
        <w:t xml:space="preserve">(练习时长：40分钟) </w:t>
      </w:r>
    </w:p>
    <w:p w14:paraId="5F1410D1">
      <w:pPr>
        <w:numPr>
          <w:ilvl w:val="0"/>
          <w:numId w:val="0"/>
        </w:numPr>
        <w:ind w:firstLine="960" w:firstLineChars="300"/>
        <w:rPr>
          <w:rFonts w:hint="eastAsia"/>
          <w:sz w:val="32"/>
          <w:szCs w:val="32"/>
          <w:lang w:val="en-US" w:eastAsia="zh-CN"/>
        </w:rPr>
      </w:pPr>
      <w:r>
        <w:rPr>
          <w:rFonts w:hint="eastAsia"/>
          <w:sz w:val="32"/>
          <w:szCs w:val="32"/>
          <w:lang w:val="en-US" w:eastAsia="zh-CN"/>
        </w:rPr>
        <w:t>姓名：              完成评价：</w:t>
      </w:r>
    </w:p>
    <w:p w14:paraId="54337C46">
      <w:pPr>
        <w:numPr>
          <w:ilvl w:val="0"/>
          <w:numId w:val="1"/>
        </w:numPr>
        <w:rPr>
          <w:rFonts w:hint="eastAsia"/>
          <w:sz w:val="32"/>
          <w:szCs w:val="32"/>
          <w:lang w:val="en-US" w:eastAsia="zh-CN"/>
        </w:rPr>
      </w:pPr>
      <w:r>
        <w:rPr>
          <w:rFonts w:hint="eastAsia"/>
          <w:sz w:val="32"/>
          <w:szCs w:val="32"/>
          <w:lang w:val="en-US" w:eastAsia="zh-CN"/>
        </w:rPr>
        <w:t>核心知识的归纳总结和梳理模块</w:t>
      </w:r>
      <w:bookmarkStart w:id="0" w:name="_GoBack"/>
      <w:bookmarkEnd w:id="0"/>
    </w:p>
    <w:p w14:paraId="0D040CD0">
      <w:pPr>
        <w:numPr>
          <w:ilvl w:val="0"/>
          <w:numId w:val="0"/>
        </w:numPr>
        <w:rPr>
          <w:rFonts w:hint="default"/>
          <w:sz w:val="32"/>
          <w:szCs w:val="32"/>
          <w:lang w:val="en-US" w:eastAsia="zh-CN"/>
        </w:rPr>
      </w:pPr>
      <w:r>
        <w:rPr>
          <w:rFonts w:hint="eastAsia" w:ascii="Times New Roman" w:hAnsi="Times New Roman" w:cs="Times New Roman"/>
          <w:lang w:val="en-US" w:eastAsia="zh-CN"/>
        </w:rPr>
        <w:t>1.</w:t>
      </w:r>
      <w:r>
        <w:rPr>
          <w:rFonts w:hint="default" w:ascii="Times New Roman" w:hAnsi="Times New Roman" w:cs="Times New Roman"/>
          <w:lang w:val="en-US" w:eastAsia="zh-CN"/>
        </w:rPr>
        <w:t>荒漠生物群落</w:t>
      </w:r>
      <w:r>
        <w:rPr>
          <w:rFonts w:hint="eastAsia" w:ascii="Times New Roman" w:hAnsi="Times New Roman" w:cs="Times New Roman"/>
          <w:lang w:val="en-US" w:eastAsia="zh-CN"/>
        </w:rPr>
        <w:t>的特性</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8"/>
        <w:gridCol w:w="1801"/>
        <w:gridCol w:w="6053"/>
      </w:tblGrid>
      <w:tr w14:paraId="50BFD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76" w:type="dxa"/>
            <w:gridSpan w:val="2"/>
            <w:vAlign w:val="center"/>
          </w:tcPr>
          <w:p w14:paraId="41E7B998">
            <w:pPr>
              <w:widowControl w:val="0"/>
              <w:numPr>
                <w:ilvl w:val="0"/>
                <w:numId w:val="0"/>
              </w:numPr>
              <w:spacing w:line="360" w:lineRule="auto"/>
              <w:jc w:val="center"/>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生物实例</w:t>
            </w:r>
          </w:p>
        </w:tc>
        <w:tc>
          <w:tcPr>
            <w:tcW w:w="7185" w:type="dxa"/>
            <w:vAlign w:val="center"/>
          </w:tcPr>
          <w:p w14:paraId="649193A9">
            <w:pPr>
              <w:widowControl w:val="0"/>
              <w:numPr>
                <w:ilvl w:val="0"/>
                <w:numId w:val="0"/>
              </w:numPr>
              <w:spacing w:line="360" w:lineRule="auto"/>
              <w:jc w:val="center"/>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适应环境的特征</w:t>
            </w:r>
          </w:p>
        </w:tc>
      </w:tr>
      <w:tr w14:paraId="2E834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vMerge w:val="restart"/>
            <w:vAlign w:val="center"/>
          </w:tcPr>
          <w:p w14:paraId="664C37BE">
            <w:pPr>
              <w:widowControl w:val="0"/>
              <w:numPr>
                <w:ilvl w:val="0"/>
                <w:numId w:val="0"/>
              </w:numPr>
              <w:spacing w:line="360" w:lineRule="auto"/>
              <w:jc w:val="center"/>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植物</w:t>
            </w:r>
          </w:p>
        </w:tc>
        <w:tc>
          <w:tcPr>
            <w:tcW w:w="2055" w:type="dxa"/>
            <w:vAlign w:val="center"/>
          </w:tcPr>
          <w:p w14:paraId="0831B71C">
            <w:pPr>
              <w:widowControl w:val="0"/>
              <w:numPr>
                <w:ilvl w:val="0"/>
                <w:numId w:val="0"/>
              </w:numPr>
              <w:spacing w:line="360" w:lineRule="auto"/>
              <w:jc w:val="center"/>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仙人掌属植物</w:t>
            </w:r>
          </w:p>
        </w:tc>
        <w:tc>
          <w:tcPr>
            <w:tcW w:w="7185" w:type="dxa"/>
          </w:tcPr>
          <w:p w14:paraId="682B0032">
            <w:pPr>
              <w:widowControl w:val="0"/>
              <w:numPr>
                <w:ilvl w:val="0"/>
                <w:numId w:val="0"/>
              </w:numPr>
              <w:spacing w:line="360" w:lineRule="auto"/>
              <w:jc w:val="both"/>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仙人掌具有肥厚的</w:t>
            </w:r>
            <w:r>
              <w:rPr>
                <w:rFonts w:hint="default" w:ascii="Times New Roman" w:hAnsi="Times New Roman" w:eastAsia="楷体_GB2312" w:cs="Times New Roman"/>
                <w:color w:val="FF0000"/>
                <w:u w:val="single" w:color="000000"/>
                <w:lang w:val="en-US" w:eastAsia="zh-CN"/>
              </w:rPr>
              <w:t xml:space="preserve">  肉质茎  </w:t>
            </w:r>
            <w:r>
              <w:rPr>
                <w:rFonts w:hint="default" w:ascii="Times New Roman" w:hAnsi="Times New Roman" w:cs="Times New Roman"/>
                <w:vertAlign w:val="baseline"/>
                <w:lang w:val="en-US" w:eastAsia="zh-CN"/>
              </w:rPr>
              <w:t>，叶呈</w:t>
            </w:r>
            <w:r>
              <w:rPr>
                <w:rFonts w:hint="default" w:ascii="Times New Roman" w:hAnsi="Times New Roman" w:eastAsia="楷体_GB2312" w:cs="Times New Roman"/>
                <w:color w:val="FF0000"/>
                <w:u w:val="single" w:color="000000"/>
                <w:lang w:val="en-US" w:eastAsia="zh-CN"/>
              </w:rPr>
              <w:t xml:space="preserve">  针状  </w:t>
            </w:r>
            <w:r>
              <w:rPr>
                <w:rFonts w:hint="default" w:ascii="Times New Roman" w:hAnsi="Times New Roman" w:cs="Times New Roman"/>
                <w:vertAlign w:val="baseline"/>
                <w:lang w:val="en-US" w:eastAsia="zh-CN"/>
              </w:rPr>
              <w:t>，气孔在</w:t>
            </w:r>
            <w:r>
              <w:rPr>
                <w:rFonts w:hint="default" w:ascii="Times New Roman" w:hAnsi="Times New Roman" w:eastAsia="楷体_GB2312" w:cs="Times New Roman"/>
                <w:color w:val="FF0000"/>
                <w:u w:val="single" w:color="000000"/>
                <w:lang w:val="en-US" w:eastAsia="zh-CN"/>
              </w:rPr>
              <w:t xml:space="preserve">  夜晚  </w:t>
            </w:r>
            <w:r>
              <w:rPr>
                <w:rFonts w:hint="default" w:ascii="Times New Roman" w:hAnsi="Times New Roman" w:cs="Times New Roman"/>
                <w:vertAlign w:val="baseline"/>
                <w:lang w:val="en-US" w:eastAsia="zh-CN"/>
              </w:rPr>
              <w:t>才开放。</w:t>
            </w:r>
          </w:p>
        </w:tc>
      </w:tr>
      <w:tr w14:paraId="19E92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vMerge w:val="continue"/>
            <w:vAlign w:val="center"/>
          </w:tcPr>
          <w:p w14:paraId="5271708D">
            <w:pPr>
              <w:widowControl w:val="0"/>
              <w:numPr>
                <w:ilvl w:val="0"/>
                <w:numId w:val="0"/>
              </w:numPr>
              <w:spacing w:line="360" w:lineRule="auto"/>
              <w:jc w:val="center"/>
              <w:rPr>
                <w:rFonts w:hint="default" w:ascii="Times New Roman" w:hAnsi="Times New Roman" w:cs="Times New Roman"/>
                <w:vertAlign w:val="baseline"/>
                <w:lang w:val="en-US" w:eastAsia="zh-CN"/>
              </w:rPr>
            </w:pPr>
          </w:p>
        </w:tc>
        <w:tc>
          <w:tcPr>
            <w:tcW w:w="2055" w:type="dxa"/>
            <w:vAlign w:val="center"/>
          </w:tcPr>
          <w:p w14:paraId="16168CDA">
            <w:pPr>
              <w:widowControl w:val="0"/>
              <w:numPr>
                <w:ilvl w:val="0"/>
                <w:numId w:val="0"/>
              </w:numPr>
              <w:spacing w:line="360" w:lineRule="auto"/>
              <w:jc w:val="center"/>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骆驼刺属植物</w:t>
            </w:r>
          </w:p>
        </w:tc>
        <w:tc>
          <w:tcPr>
            <w:tcW w:w="7185" w:type="dxa"/>
          </w:tcPr>
          <w:p w14:paraId="09EC380E">
            <w:pPr>
              <w:widowControl w:val="0"/>
              <w:numPr>
                <w:ilvl w:val="0"/>
                <w:numId w:val="0"/>
              </w:numPr>
              <w:spacing w:line="360" w:lineRule="auto"/>
              <w:jc w:val="both"/>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骆驼刺植株才几厘米高，但</w:t>
            </w:r>
            <w:r>
              <w:rPr>
                <w:rFonts w:hint="default" w:ascii="Times New Roman" w:hAnsi="Times New Roman" w:eastAsia="楷体_GB2312" w:cs="Times New Roman"/>
                <w:color w:val="FF0000"/>
                <w:u w:val="single" w:color="000000"/>
                <w:lang w:val="en-US" w:eastAsia="zh-CN"/>
              </w:rPr>
              <w:t xml:space="preserve">  根  </w:t>
            </w:r>
            <w:r>
              <w:rPr>
                <w:rFonts w:hint="default" w:ascii="Times New Roman" w:hAnsi="Times New Roman" w:cs="Times New Roman"/>
                <w:vertAlign w:val="baseline"/>
                <w:lang w:val="en-US" w:eastAsia="zh-CN"/>
              </w:rPr>
              <w:t>可长达15m</w:t>
            </w:r>
          </w:p>
        </w:tc>
      </w:tr>
      <w:tr w14:paraId="3FA65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vAlign w:val="center"/>
          </w:tcPr>
          <w:p w14:paraId="7B60EFFE">
            <w:pPr>
              <w:widowControl w:val="0"/>
              <w:numPr>
                <w:ilvl w:val="0"/>
                <w:numId w:val="0"/>
              </w:numPr>
              <w:spacing w:line="360" w:lineRule="auto"/>
              <w:jc w:val="center"/>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动物</w:t>
            </w:r>
          </w:p>
        </w:tc>
        <w:tc>
          <w:tcPr>
            <w:tcW w:w="2055" w:type="dxa"/>
            <w:vAlign w:val="center"/>
          </w:tcPr>
          <w:p w14:paraId="6771A910">
            <w:pPr>
              <w:widowControl w:val="0"/>
              <w:numPr>
                <w:ilvl w:val="0"/>
                <w:numId w:val="0"/>
              </w:numPr>
              <w:spacing w:line="360" w:lineRule="auto"/>
              <w:jc w:val="center"/>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爬行类、啮齿目、鸟类和蝗虫等</w:t>
            </w:r>
          </w:p>
        </w:tc>
        <w:tc>
          <w:tcPr>
            <w:tcW w:w="7185" w:type="dxa"/>
          </w:tcPr>
          <w:p w14:paraId="1CC5BAAB">
            <w:pPr>
              <w:widowControl w:val="0"/>
              <w:numPr>
                <w:ilvl w:val="0"/>
                <w:numId w:val="0"/>
              </w:numPr>
              <w:spacing w:line="360" w:lineRule="auto"/>
              <w:jc w:val="both"/>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以爬行动物为例，其耐旱特征有：</w:t>
            </w:r>
          </w:p>
          <w:p w14:paraId="0C2CD4AF">
            <w:pPr>
              <w:widowControl w:val="0"/>
              <w:numPr>
                <w:ilvl w:val="0"/>
                <w:numId w:val="2"/>
              </w:numPr>
              <w:spacing w:line="360" w:lineRule="auto"/>
              <w:jc w:val="both"/>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表皮外有</w:t>
            </w:r>
            <w:r>
              <w:rPr>
                <w:rFonts w:hint="default" w:ascii="Times New Roman" w:hAnsi="Times New Roman" w:eastAsia="楷体_GB2312" w:cs="Times New Roman"/>
                <w:color w:val="FF0000"/>
                <w:u w:val="single" w:color="000000"/>
                <w:lang w:val="en-US" w:eastAsia="zh-CN"/>
              </w:rPr>
              <w:t xml:space="preserve">  角质鳞片  </w:t>
            </w:r>
            <w:r>
              <w:rPr>
                <w:rFonts w:hint="default" w:ascii="Times New Roman" w:hAnsi="Times New Roman" w:cs="Times New Roman"/>
                <w:vertAlign w:val="baseline"/>
                <w:lang w:val="en-US" w:eastAsia="zh-CN"/>
              </w:rPr>
              <w:t>，有助于减少水分</w:t>
            </w:r>
            <w:r>
              <w:rPr>
                <w:rFonts w:hint="default" w:ascii="Times New Roman" w:hAnsi="Times New Roman" w:eastAsia="楷体_GB2312" w:cs="Times New Roman"/>
                <w:color w:val="FF0000"/>
                <w:u w:val="single" w:color="000000"/>
                <w:lang w:val="en-US" w:eastAsia="zh-CN"/>
              </w:rPr>
              <w:t xml:space="preserve">  蒸发  </w:t>
            </w:r>
            <w:r>
              <w:rPr>
                <w:rFonts w:hint="default" w:ascii="Times New Roman" w:hAnsi="Times New Roman" w:cs="Times New Roman"/>
                <w:vertAlign w:val="baseline"/>
                <w:lang w:val="en-US" w:eastAsia="zh-CN"/>
              </w:rPr>
              <w:t>；</w:t>
            </w:r>
          </w:p>
          <w:p w14:paraId="4806CEBC">
            <w:pPr>
              <w:widowControl w:val="0"/>
              <w:numPr>
                <w:ilvl w:val="0"/>
                <w:numId w:val="2"/>
              </w:numPr>
              <w:spacing w:line="360" w:lineRule="auto"/>
              <w:jc w:val="both"/>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蛋壳</w:t>
            </w:r>
            <w:r>
              <w:rPr>
                <w:rFonts w:hint="default" w:ascii="Times New Roman" w:hAnsi="Times New Roman" w:eastAsia="楷体_GB2312" w:cs="Times New Roman"/>
                <w:color w:val="FF0000"/>
                <w:u w:val="single" w:color="000000"/>
                <w:lang w:val="en-US" w:eastAsia="zh-CN"/>
              </w:rPr>
              <w:t xml:space="preserve">  坚硬  </w:t>
            </w:r>
            <w:r>
              <w:rPr>
                <w:rFonts w:hint="default" w:ascii="Times New Roman" w:hAnsi="Times New Roman" w:cs="Times New Roman"/>
                <w:vertAlign w:val="baseline"/>
                <w:lang w:val="en-US" w:eastAsia="zh-CN"/>
              </w:rPr>
              <w:t>，能保护正在发育的胚胎；</w:t>
            </w:r>
          </w:p>
          <w:p w14:paraId="465BF402">
            <w:pPr>
              <w:widowControl w:val="0"/>
              <w:numPr>
                <w:ilvl w:val="0"/>
                <w:numId w:val="2"/>
              </w:numPr>
              <w:spacing w:line="360" w:lineRule="auto"/>
              <w:jc w:val="both"/>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体温是变化的，其调节体温的方式是每天早早起来到阳光充足的地方，让身体暖和起来，待天热时退到地下等阴凉处。</w:t>
            </w:r>
          </w:p>
          <w:p w14:paraId="1F914996">
            <w:pPr>
              <w:widowControl w:val="0"/>
              <w:numPr>
                <w:ilvl w:val="0"/>
                <w:numId w:val="2"/>
              </w:numPr>
              <w:spacing w:line="360" w:lineRule="auto"/>
              <w:jc w:val="both"/>
              <w:rPr>
                <w:rFonts w:hint="default" w:ascii="Times New Roman" w:hAnsi="Times New Roman" w:cs="Times New Roman"/>
                <w:vertAlign w:val="baseline"/>
                <w:lang w:val="en-US" w:eastAsia="zh-CN"/>
              </w:rPr>
            </w:pPr>
            <w:r>
              <w:rPr>
                <w:rFonts w:hint="default" w:ascii="Times New Roman" w:hAnsi="Times New Roman" w:cs="Times New Roman"/>
                <w:vertAlign w:val="baseline"/>
                <w:lang w:val="en-US" w:eastAsia="zh-CN"/>
              </w:rPr>
              <w:t>某些爬行动物以</w:t>
            </w:r>
            <w:r>
              <w:rPr>
                <w:rFonts w:hint="default" w:ascii="Times New Roman" w:hAnsi="Times New Roman" w:eastAsia="楷体_GB2312" w:cs="Times New Roman"/>
                <w:color w:val="FF0000"/>
                <w:u w:val="single" w:color="000000"/>
                <w:lang w:val="en-US" w:eastAsia="zh-CN"/>
              </w:rPr>
              <w:t xml:space="preserve">  固态尿酸盐  </w:t>
            </w:r>
            <w:r>
              <w:rPr>
                <w:rFonts w:hint="default" w:ascii="Times New Roman" w:hAnsi="Times New Roman" w:cs="Times New Roman"/>
                <w:vertAlign w:val="baseline"/>
                <w:lang w:val="en-US" w:eastAsia="zh-CN"/>
              </w:rPr>
              <w:t>的形式排泄含氮废物，而不是产生需要更多水才能溶解的尿素。</w:t>
            </w:r>
          </w:p>
        </w:tc>
      </w:tr>
    </w:tbl>
    <w:p w14:paraId="6F708C59">
      <w:pPr>
        <w:numPr>
          <w:ilvl w:val="0"/>
          <w:numId w:val="0"/>
        </w:numPr>
        <w:spacing w:line="360" w:lineRule="auto"/>
        <w:ind w:leftChars="0"/>
        <w:rPr>
          <w:rFonts w:hint="default" w:ascii="Times New Roman" w:hAnsi="Times New Roman" w:cs="Times New Roman" w:eastAsiaTheme="minorEastAsia"/>
          <w:lang w:val="en-US" w:eastAsia="zh-CN"/>
        </w:rPr>
      </w:pPr>
      <w:r>
        <w:rPr>
          <w:rFonts w:hint="eastAsia" w:ascii="Times New Roman" w:hAnsi="Times New Roman" w:cs="Times New Roman"/>
          <w:lang w:val="en-US" w:eastAsia="zh-CN"/>
        </w:rPr>
        <w:t>2.</w:t>
      </w:r>
      <w:r>
        <w:rPr>
          <w:rFonts w:hint="default" w:ascii="Times New Roman" w:hAnsi="Times New Roman" w:cs="Times New Roman"/>
          <w:lang w:val="en-US" w:eastAsia="zh-CN"/>
        </w:rPr>
        <w:t>初生演替和次生演替的比较</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0"/>
        <w:gridCol w:w="982"/>
        <w:gridCol w:w="3264"/>
        <w:gridCol w:w="3846"/>
      </w:tblGrid>
      <w:tr w14:paraId="2CFF3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gridSpan w:val="2"/>
            <w:shd w:val="clear" w:color="auto" w:fill="E7E6E6" w:themeFill="background2"/>
            <w:vAlign w:val="center"/>
          </w:tcPr>
          <w:p w14:paraId="0B993A5C">
            <w:pPr>
              <w:widowControl w:val="0"/>
              <w:numPr>
                <w:ilvl w:val="0"/>
                <w:numId w:val="0"/>
              </w:numPr>
              <w:spacing w:line="360" w:lineRule="auto"/>
              <w:jc w:val="center"/>
              <w:rPr>
                <w:rFonts w:hint="default" w:ascii="Times New Roman" w:hAnsi="Times New Roman" w:cs="Times New Roman" w:eastAsiaTheme="minorEastAsia"/>
                <w:vertAlign w:val="baseline"/>
                <w:lang w:val="en-US" w:eastAsia="zh-CN"/>
              </w:rPr>
            </w:pPr>
            <w:r>
              <w:rPr>
                <w:rFonts w:hint="default" w:ascii="Times New Roman" w:hAnsi="Times New Roman" w:cs="Times New Roman"/>
                <w:vertAlign w:val="baseline"/>
                <w:lang w:val="en-US" w:eastAsia="zh-CN"/>
              </w:rPr>
              <w:t>项目</w:t>
            </w:r>
          </w:p>
        </w:tc>
        <w:tc>
          <w:tcPr>
            <w:tcW w:w="3864" w:type="dxa"/>
            <w:shd w:val="clear" w:color="auto" w:fill="E7E6E6" w:themeFill="background2"/>
            <w:vAlign w:val="center"/>
          </w:tcPr>
          <w:p w14:paraId="3CEA4097">
            <w:pPr>
              <w:widowControl w:val="0"/>
              <w:numPr>
                <w:ilvl w:val="0"/>
                <w:numId w:val="0"/>
              </w:numPr>
              <w:spacing w:line="360" w:lineRule="auto"/>
              <w:jc w:val="center"/>
              <w:rPr>
                <w:rFonts w:hint="default" w:ascii="Times New Roman" w:hAnsi="Times New Roman" w:cs="Times New Roman" w:eastAsiaTheme="minorEastAsia"/>
                <w:vertAlign w:val="baseline"/>
                <w:lang w:val="en-US" w:eastAsia="zh-CN"/>
              </w:rPr>
            </w:pPr>
            <w:r>
              <w:rPr>
                <w:rFonts w:hint="default" w:ascii="Times New Roman" w:hAnsi="Times New Roman" w:cs="Times New Roman"/>
                <w:vertAlign w:val="baseline"/>
                <w:lang w:val="en-US" w:eastAsia="zh-CN"/>
              </w:rPr>
              <w:t>初生演替</w:t>
            </w:r>
          </w:p>
        </w:tc>
        <w:tc>
          <w:tcPr>
            <w:tcW w:w="4567" w:type="dxa"/>
            <w:shd w:val="clear" w:color="auto" w:fill="E7E6E6" w:themeFill="background2"/>
            <w:vAlign w:val="center"/>
          </w:tcPr>
          <w:p w14:paraId="19E5DE3D">
            <w:pPr>
              <w:widowControl w:val="0"/>
              <w:numPr>
                <w:ilvl w:val="0"/>
                <w:numId w:val="0"/>
              </w:numPr>
              <w:spacing w:line="360" w:lineRule="auto"/>
              <w:jc w:val="center"/>
              <w:rPr>
                <w:rFonts w:hint="default" w:ascii="Times New Roman" w:hAnsi="Times New Roman" w:cs="Times New Roman" w:eastAsiaTheme="minorEastAsia"/>
                <w:vertAlign w:val="baseline"/>
                <w:lang w:val="en-US" w:eastAsia="zh-CN"/>
              </w:rPr>
            </w:pPr>
            <w:r>
              <w:rPr>
                <w:rFonts w:hint="default" w:ascii="Times New Roman" w:hAnsi="Times New Roman" w:cs="Times New Roman"/>
                <w:vertAlign w:val="baseline"/>
                <w:lang w:val="en-US" w:eastAsia="zh-CN"/>
              </w:rPr>
              <w:t>次生演替</w:t>
            </w:r>
          </w:p>
        </w:tc>
      </w:tr>
      <w:tr w14:paraId="5D6BA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1" w:type="dxa"/>
            <w:vMerge w:val="restart"/>
            <w:vAlign w:val="center"/>
          </w:tcPr>
          <w:p w14:paraId="7AAD656C">
            <w:pPr>
              <w:widowControl w:val="0"/>
              <w:numPr>
                <w:ilvl w:val="0"/>
                <w:numId w:val="0"/>
              </w:numPr>
              <w:spacing w:line="360" w:lineRule="auto"/>
              <w:jc w:val="center"/>
              <w:rPr>
                <w:rFonts w:hint="default" w:ascii="Times New Roman" w:hAnsi="Times New Roman" w:cs="Times New Roman" w:eastAsiaTheme="minorEastAsia"/>
                <w:vertAlign w:val="baseline"/>
                <w:lang w:val="en-US" w:eastAsia="zh-CN"/>
              </w:rPr>
            </w:pPr>
            <w:r>
              <w:rPr>
                <w:rFonts w:hint="default" w:ascii="Times New Roman" w:hAnsi="Times New Roman" w:cs="Times New Roman"/>
                <w:vertAlign w:val="baseline"/>
                <w:lang w:val="en-US" w:eastAsia="zh-CN"/>
              </w:rPr>
              <w:t>不同点</w:t>
            </w:r>
          </w:p>
        </w:tc>
        <w:tc>
          <w:tcPr>
            <w:tcW w:w="1100" w:type="dxa"/>
            <w:vAlign w:val="center"/>
          </w:tcPr>
          <w:p w14:paraId="11FF2D87">
            <w:pPr>
              <w:widowControl w:val="0"/>
              <w:numPr>
                <w:ilvl w:val="0"/>
                <w:numId w:val="0"/>
              </w:numPr>
              <w:spacing w:line="360" w:lineRule="auto"/>
              <w:jc w:val="center"/>
              <w:rPr>
                <w:rFonts w:hint="default" w:ascii="Times New Roman" w:hAnsi="Times New Roman" w:cs="Times New Roman" w:eastAsiaTheme="minorEastAsia"/>
                <w:vertAlign w:val="baseline"/>
                <w:lang w:val="en-US" w:eastAsia="zh-CN"/>
              </w:rPr>
            </w:pPr>
            <w:r>
              <w:rPr>
                <w:rFonts w:hint="default" w:ascii="Times New Roman" w:hAnsi="Times New Roman" w:cs="Times New Roman"/>
                <w:vertAlign w:val="baseline"/>
                <w:lang w:val="en-US" w:eastAsia="zh-CN"/>
              </w:rPr>
              <w:t>结果</w:t>
            </w:r>
          </w:p>
        </w:tc>
        <w:tc>
          <w:tcPr>
            <w:tcW w:w="3864" w:type="dxa"/>
            <w:vAlign w:val="center"/>
          </w:tcPr>
          <w:p w14:paraId="03548FF6">
            <w:pPr>
              <w:widowControl w:val="0"/>
              <w:numPr>
                <w:ilvl w:val="0"/>
                <w:numId w:val="0"/>
              </w:numPr>
              <w:spacing w:line="360" w:lineRule="auto"/>
              <w:jc w:val="center"/>
              <w:rPr>
                <w:rFonts w:hint="default" w:ascii="Times New Roman" w:hAnsi="Times New Roman" w:cs="Times New Roman" w:eastAsiaTheme="minorEastAsia"/>
                <w:vertAlign w:val="baseline"/>
                <w:lang w:val="en-US" w:eastAsia="zh-CN"/>
              </w:rPr>
            </w:pPr>
            <w:r>
              <w:rPr>
                <w:rFonts w:hint="default" w:ascii="Times New Roman" w:hAnsi="Times New Roman" w:cs="Times New Roman"/>
                <w:vertAlign w:val="baseline"/>
                <w:lang w:val="en-US" w:eastAsia="zh-CN"/>
              </w:rPr>
              <w:t>趋向形成</w:t>
            </w:r>
            <w:r>
              <w:rPr>
                <w:rFonts w:hint="default" w:ascii="Times New Roman" w:hAnsi="Times New Roman" w:eastAsia="楷体_GB2312" w:cs="Times New Roman"/>
                <w:color w:val="FF0000"/>
                <w:u w:val="single" w:color="000000"/>
                <w:lang w:val="en-US" w:eastAsia="zh-CN"/>
              </w:rPr>
              <w:t xml:space="preserve">  新  </w:t>
            </w:r>
            <w:r>
              <w:rPr>
                <w:rFonts w:hint="default" w:ascii="Times New Roman" w:hAnsi="Times New Roman" w:cs="Times New Roman"/>
                <w:vertAlign w:val="baseline"/>
                <w:lang w:val="en-US" w:eastAsia="zh-CN"/>
              </w:rPr>
              <w:t>群落</w:t>
            </w:r>
          </w:p>
        </w:tc>
        <w:tc>
          <w:tcPr>
            <w:tcW w:w="4567" w:type="dxa"/>
            <w:vAlign w:val="center"/>
          </w:tcPr>
          <w:p w14:paraId="4CED5561">
            <w:pPr>
              <w:widowControl w:val="0"/>
              <w:numPr>
                <w:ilvl w:val="0"/>
                <w:numId w:val="0"/>
              </w:numPr>
              <w:spacing w:line="360" w:lineRule="auto"/>
              <w:jc w:val="center"/>
              <w:rPr>
                <w:rFonts w:hint="default" w:ascii="Times New Roman" w:hAnsi="Times New Roman" w:cs="Times New Roman" w:eastAsiaTheme="minorEastAsia"/>
                <w:vertAlign w:val="baseline"/>
                <w:lang w:val="en-US" w:eastAsia="zh-CN"/>
              </w:rPr>
            </w:pPr>
            <w:r>
              <w:rPr>
                <w:rFonts w:hint="default" w:ascii="Times New Roman" w:hAnsi="Times New Roman" w:cs="Times New Roman"/>
                <w:vertAlign w:val="baseline"/>
                <w:lang w:val="en-US" w:eastAsia="zh-CN"/>
              </w:rPr>
              <w:t>趋向于恢复</w:t>
            </w:r>
            <w:r>
              <w:rPr>
                <w:rFonts w:hint="default" w:ascii="Times New Roman" w:hAnsi="Times New Roman" w:eastAsia="楷体_GB2312" w:cs="Times New Roman"/>
                <w:color w:val="FF0000"/>
                <w:u w:val="single" w:color="000000"/>
                <w:lang w:val="en-US" w:eastAsia="zh-CN"/>
              </w:rPr>
              <w:t xml:space="preserve">  原来  </w:t>
            </w:r>
            <w:r>
              <w:rPr>
                <w:rFonts w:hint="default" w:ascii="Times New Roman" w:hAnsi="Times New Roman" w:cs="Times New Roman"/>
                <w:vertAlign w:val="baseline"/>
                <w:lang w:val="en-US" w:eastAsia="zh-CN"/>
              </w:rPr>
              <w:t>的群落</w:t>
            </w:r>
          </w:p>
        </w:tc>
      </w:tr>
      <w:tr w14:paraId="61C64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1" w:type="dxa"/>
            <w:vMerge w:val="continue"/>
            <w:vAlign w:val="center"/>
          </w:tcPr>
          <w:p w14:paraId="59AA8474">
            <w:pPr>
              <w:widowControl w:val="0"/>
              <w:numPr>
                <w:ilvl w:val="0"/>
                <w:numId w:val="0"/>
              </w:numPr>
              <w:spacing w:line="360" w:lineRule="auto"/>
              <w:jc w:val="center"/>
              <w:rPr>
                <w:rFonts w:hint="default" w:ascii="Times New Roman" w:hAnsi="Times New Roman" w:cs="Times New Roman" w:eastAsiaTheme="minorEastAsia"/>
                <w:vertAlign w:val="baseline"/>
                <w:lang w:val="en-US" w:eastAsia="zh-CN"/>
              </w:rPr>
            </w:pPr>
          </w:p>
        </w:tc>
        <w:tc>
          <w:tcPr>
            <w:tcW w:w="1100" w:type="dxa"/>
            <w:vAlign w:val="center"/>
          </w:tcPr>
          <w:p w14:paraId="3135EC02">
            <w:pPr>
              <w:widowControl w:val="0"/>
              <w:numPr>
                <w:ilvl w:val="0"/>
                <w:numId w:val="0"/>
              </w:numPr>
              <w:spacing w:line="360" w:lineRule="auto"/>
              <w:jc w:val="center"/>
              <w:rPr>
                <w:rFonts w:hint="default" w:ascii="Times New Roman" w:hAnsi="Times New Roman" w:cs="Times New Roman" w:eastAsiaTheme="minorEastAsia"/>
                <w:vertAlign w:val="baseline"/>
                <w:lang w:val="en-US" w:eastAsia="zh-CN"/>
              </w:rPr>
            </w:pPr>
            <w:r>
              <w:rPr>
                <w:rFonts w:hint="default" w:ascii="Times New Roman" w:hAnsi="Times New Roman" w:cs="Times New Roman"/>
                <w:vertAlign w:val="baseline"/>
                <w:lang w:val="en-US" w:eastAsia="zh-CN"/>
              </w:rPr>
              <w:t>经历阶段</w:t>
            </w:r>
          </w:p>
        </w:tc>
        <w:tc>
          <w:tcPr>
            <w:tcW w:w="3864" w:type="dxa"/>
            <w:vAlign w:val="center"/>
          </w:tcPr>
          <w:p w14:paraId="1B871077">
            <w:pPr>
              <w:widowControl w:val="0"/>
              <w:numPr>
                <w:ilvl w:val="0"/>
                <w:numId w:val="0"/>
              </w:numPr>
              <w:spacing w:line="360" w:lineRule="auto"/>
              <w:jc w:val="center"/>
              <w:rPr>
                <w:rFonts w:hint="default" w:ascii="Times New Roman" w:hAnsi="Times New Roman" w:cs="Times New Roman" w:eastAsiaTheme="minorEastAsia"/>
                <w:vertAlign w:val="baseline"/>
                <w:lang w:val="en-US" w:eastAsia="zh-CN"/>
              </w:rPr>
            </w:pPr>
            <w:r>
              <w:rPr>
                <w:rFonts w:hint="default" w:ascii="Times New Roman" w:hAnsi="Times New Roman" w:cs="Times New Roman"/>
                <w:vertAlign w:val="baseline"/>
                <w:lang w:val="en-US" w:eastAsia="zh-CN"/>
              </w:rPr>
              <w:t>相对</w:t>
            </w:r>
            <w:r>
              <w:rPr>
                <w:rFonts w:hint="default" w:ascii="Times New Roman" w:hAnsi="Times New Roman" w:eastAsia="楷体_GB2312" w:cs="Times New Roman"/>
                <w:color w:val="FF0000"/>
                <w:u w:val="single" w:color="000000"/>
                <w:lang w:val="en-US" w:eastAsia="zh-CN"/>
              </w:rPr>
              <w:t xml:space="preserve">  较多  </w:t>
            </w:r>
          </w:p>
        </w:tc>
        <w:tc>
          <w:tcPr>
            <w:tcW w:w="4567" w:type="dxa"/>
            <w:vAlign w:val="center"/>
          </w:tcPr>
          <w:p w14:paraId="59BC17CA">
            <w:pPr>
              <w:widowControl w:val="0"/>
              <w:numPr>
                <w:ilvl w:val="0"/>
                <w:numId w:val="0"/>
              </w:numPr>
              <w:spacing w:line="360" w:lineRule="auto"/>
              <w:jc w:val="center"/>
              <w:rPr>
                <w:rFonts w:hint="default" w:ascii="Times New Roman" w:hAnsi="Times New Roman" w:cs="Times New Roman" w:eastAsiaTheme="minorEastAsia"/>
                <w:vertAlign w:val="baseline"/>
                <w:lang w:val="en-US" w:eastAsia="zh-CN"/>
              </w:rPr>
            </w:pPr>
            <w:r>
              <w:rPr>
                <w:rFonts w:hint="default" w:ascii="Times New Roman" w:hAnsi="Times New Roman" w:cs="Times New Roman"/>
                <w:vertAlign w:val="baseline"/>
                <w:lang w:val="en-US" w:eastAsia="zh-CN"/>
              </w:rPr>
              <w:t>相对</w:t>
            </w:r>
            <w:r>
              <w:rPr>
                <w:rFonts w:hint="default" w:ascii="Times New Roman" w:hAnsi="Times New Roman" w:eastAsia="楷体_GB2312" w:cs="Times New Roman"/>
                <w:color w:val="FF0000"/>
                <w:u w:val="single" w:color="000000"/>
                <w:lang w:val="en-US" w:eastAsia="zh-CN"/>
              </w:rPr>
              <w:t xml:space="preserve">  较少  </w:t>
            </w:r>
          </w:p>
        </w:tc>
      </w:tr>
      <w:tr w14:paraId="1B47D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1" w:type="dxa"/>
            <w:vMerge w:val="continue"/>
            <w:vAlign w:val="center"/>
          </w:tcPr>
          <w:p w14:paraId="530AA914">
            <w:pPr>
              <w:widowControl w:val="0"/>
              <w:numPr>
                <w:ilvl w:val="0"/>
                <w:numId w:val="0"/>
              </w:numPr>
              <w:spacing w:line="360" w:lineRule="auto"/>
              <w:jc w:val="center"/>
              <w:rPr>
                <w:rFonts w:hint="default" w:ascii="Times New Roman" w:hAnsi="Times New Roman" w:cs="Times New Roman" w:eastAsiaTheme="minorEastAsia"/>
                <w:vertAlign w:val="baseline"/>
                <w:lang w:val="en-US" w:eastAsia="zh-CN"/>
              </w:rPr>
            </w:pPr>
          </w:p>
        </w:tc>
        <w:tc>
          <w:tcPr>
            <w:tcW w:w="1100" w:type="dxa"/>
            <w:vAlign w:val="center"/>
          </w:tcPr>
          <w:p w14:paraId="05ADBF7B">
            <w:pPr>
              <w:widowControl w:val="0"/>
              <w:numPr>
                <w:ilvl w:val="0"/>
                <w:numId w:val="0"/>
              </w:numPr>
              <w:spacing w:line="360" w:lineRule="auto"/>
              <w:jc w:val="center"/>
              <w:rPr>
                <w:rFonts w:hint="default" w:ascii="Times New Roman" w:hAnsi="Times New Roman" w:cs="Times New Roman" w:eastAsiaTheme="minorEastAsia"/>
                <w:vertAlign w:val="baseline"/>
                <w:lang w:val="en-US" w:eastAsia="zh-CN"/>
              </w:rPr>
            </w:pPr>
            <w:r>
              <w:rPr>
                <w:rFonts w:hint="default" w:ascii="Times New Roman" w:hAnsi="Times New Roman" w:cs="Times New Roman"/>
                <w:vertAlign w:val="baseline"/>
                <w:lang w:val="en-US" w:eastAsia="zh-CN"/>
              </w:rPr>
              <w:t>时间</w:t>
            </w:r>
          </w:p>
        </w:tc>
        <w:tc>
          <w:tcPr>
            <w:tcW w:w="3864" w:type="dxa"/>
            <w:vAlign w:val="center"/>
          </w:tcPr>
          <w:p w14:paraId="0B88DEBC">
            <w:pPr>
              <w:widowControl w:val="0"/>
              <w:numPr>
                <w:ilvl w:val="0"/>
                <w:numId w:val="0"/>
              </w:numPr>
              <w:spacing w:line="360" w:lineRule="auto"/>
              <w:jc w:val="center"/>
              <w:rPr>
                <w:rFonts w:hint="default" w:ascii="Times New Roman" w:hAnsi="Times New Roman" w:cs="Times New Roman" w:eastAsiaTheme="minorEastAsia"/>
                <w:vertAlign w:val="baseline"/>
                <w:lang w:val="en-US" w:eastAsia="zh-CN"/>
              </w:rPr>
            </w:pPr>
            <w:r>
              <w:rPr>
                <w:rFonts w:hint="default" w:ascii="Times New Roman" w:hAnsi="Times New Roman" w:cs="Times New Roman"/>
                <w:vertAlign w:val="baseline"/>
                <w:lang w:val="en-US" w:eastAsia="zh-CN"/>
              </w:rPr>
              <w:t>经历的时间</w:t>
            </w:r>
            <w:r>
              <w:rPr>
                <w:rFonts w:hint="default" w:ascii="Times New Roman" w:hAnsi="Times New Roman" w:eastAsia="楷体_GB2312" w:cs="Times New Roman"/>
                <w:color w:val="FF0000"/>
                <w:u w:val="single" w:color="000000"/>
                <w:lang w:val="en-US" w:eastAsia="zh-CN"/>
              </w:rPr>
              <w:t xml:space="preserve">  长  </w:t>
            </w:r>
          </w:p>
        </w:tc>
        <w:tc>
          <w:tcPr>
            <w:tcW w:w="4567" w:type="dxa"/>
            <w:vAlign w:val="center"/>
          </w:tcPr>
          <w:p w14:paraId="10F60E53">
            <w:pPr>
              <w:widowControl w:val="0"/>
              <w:numPr>
                <w:ilvl w:val="0"/>
                <w:numId w:val="0"/>
              </w:numPr>
              <w:spacing w:line="360" w:lineRule="auto"/>
              <w:jc w:val="center"/>
              <w:rPr>
                <w:rFonts w:hint="default" w:ascii="Times New Roman" w:hAnsi="Times New Roman" w:cs="Times New Roman" w:eastAsiaTheme="minorEastAsia"/>
                <w:vertAlign w:val="baseline"/>
                <w:lang w:val="en-US" w:eastAsia="zh-CN"/>
              </w:rPr>
            </w:pPr>
            <w:r>
              <w:rPr>
                <w:rFonts w:hint="default" w:ascii="Times New Roman" w:hAnsi="Times New Roman" w:cs="Times New Roman"/>
                <w:vertAlign w:val="baseline"/>
                <w:lang w:val="en-US" w:eastAsia="zh-CN"/>
              </w:rPr>
              <w:t>经历的时间</w:t>
            </w:r>
            <w:r>
              <w:rPr>
                <w:rFonts w:hint="default" w:ascii="Times New Roman" w:hAnsi="Times New Roman" w:eastAsia="楷体_GB2312" w:cs="Times New Roman"/>
                <w:color w:val="FF0000"/>
                <w:u w:val="single" w:color="000000"/>
                <w:lang w:val="en-US" w:eastAsia="zh-CN"/>
              </w:rPr>
              <w:t xml:space="preserve">  短  </w:t>
            </w:r>
          </w:p>
        </w:tc>
      </w:tr>
      <w:tr w14:paraId="2BF2A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1" w:type="dxa"/>
            <w:vMerge w:val="continue"/>
            <w:vAlign w:val="center"/>
          </w:tcPr>
          <w:p w14:paraId="48059A21">
            <w:pPr>
              <w:widowControl w:val="0"/>
              <w:numPr>
                <w:ilvl w:val="0"/>
                <w:numId w:val="0"/>
              </w:numPr>
              <w:spacing w:line="360" w:lineRule="auto"/>
              <w:jc w:val="center"/>
              <w:rPr>
                <w:rFonts w:hint="default" w:ascii="Times New Roman" w:hAnsi="Times New Roman" w:cs="Times New Roman" w:eastAsiaTheme="minorEastAsia"/>
                <w:vertAlign w:val="baseline"/>
                <w:lang w:val="en-US" w:eastAsia="zh-CN"/>
              </w:rPr>
            </w:pPr>
          </w:p>
        </w:tc>
        <w:tc>
          <w:tcPr>
            <w:tcW w:w="1100" w:type="dxa"/>
            <w:vAlign w:val="center"/>
          </w:tcPr>
          <w:p w14:paraId="61229250">
            <w:pPr>
              <w:widowControl w:val="0"/>
              <w:numPr>
                <w:ilvl w:val="0"/>
                <w:numId w:val="0"/>
              </w:numPr>
              <w:spacing w:line="360" w:lineRule="auto"/>
              <w:jc w:val="center"/>
              <w:rPr>
                <w:rFonts w:hint="default" w:ascii="Times New Roman" w:hAnsi="Times New Roman" w:cs="Times New Roman" w:eastAsiaTheme="minorEastAsia"/>
                <w:vertAlign w:val="baseline"/>
                <w:lang w:val="en-US" w:eastAsia="zh-CN"/>
              </w:rPr>
            </w:pPr>
            <w:r>
              <w:rPr>
                <w:rFonts w:hint="default" w:ascii="Times New Roman" w:hAnsi="Times New Roman" w:cs="Times New Roman"/>
                <w:vertAlign w:val="baseline"/>
                <w:lang w:val="en-US" w:eastAsia="zh-CN"/>
              </w:rPr>
              <w:t>速度</w:t>
            </w:r>
          </w:p>
        </w:tc>
        <w:tc>
          <w:tcPr>
            <w:tcW w:w="3864" w:type="dxa"/>
            <w:vAlign w:val="center"/>
          </w:tcPr>
          <w:p w14:paraId="5A399E68">
            <w:pPr>
              <w:widowControl w:val="0"/>
              <w:numPr>
                <w:ilvl w:val="0"/>
                <w:numId w:val="0"/>
              </w:numPr>
              <w:spacing w:line="360" w:lineRule="auto"/>
              <w:jc w:val="center"/>
              <w:rPr>
                <w:rFonts w:hint="default" w:ascii="Times New Roman" w:hAnsi="Times New Roman" w:cs="Times New Roman" w:eastAsiaTheme="minorEastAsia"/>
                <w:vertAlign w:val="baseline"/>
                <w:lang w:val="en-US" w:eastAsia="zh-CN"/>
              </w:rPr>
            </w:pPr>
            <w:r>
              <w:rPr>
                <w:rFonts w:hint="default" w:ascii="Times New Roman" w:hAnsi="Times New Roman" w:eastAsia="楷体_GB2312" w:cs="Times New Roman"/>
                <w:color w:val="FF0000"/>
                <w:u w:val="single" w:color="000000"/>
                <w:lang w:val="en-US" w:eastAsia="zh-CN"/>
              </w:rPr>
              <w:t xml:space="preserve">  缓慢  </w:t>
            </w:r>
          </w:p>
        </w:tc>
        <w:tc>
          <w:tcPr>
            <w:tcW w:w="4567" w:type="dxa"/>
            <w:vAlign w:val="center"/>
          </w:tcPr>
          <w:p w14:paraId="7A1E9173">
            <w:pPr>
              <w:widowControl w:val="0"/>
              <w:numPr>
                <w:ilvl w:val="0"/>
                <w:numId w:val="0"/>
              </w:numPr>
              <w:spacing w:line="360" w:lineRule="auto"/>
              <w:jc w:val="center"/>
              <w:rPr>
                <w:rFonts w:hint="default" w:ascii="Times New Roman" w:hAnsi="Times New Roman" w:cs="Times New Roman" w:eastAsiaTheme="minorEastAsia"/>
                <w:vertAlign w:val="baseline"/>
                <w:lang w:val="en-US" w:eastAsia="zh-CN"/>
              </w:rPr>
            </w:pPr>
            <w:r>
              <w:rPr>
                <w:rFonts w:hint="default" w:ascii="Times New Roman" w:hAnsi="Times New Roman" w:eastAsia="楷体_GB2312" w:cs="Times New Roman"/>
                <w:color w:val="FF0000"/>
                <w:u w:val="single" w:color="000000"/>
                <w:lang w:val="en-US" w:eastAsia="zh-CN"/>
              </w:rPr>
              <w:t xml:space="preserve">  较快  </w:t>
            </w:r>
          </w:p>
        </w:tc>
      </w:tr>
      <w:tr w14:paraId="21A48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1" w:type="dxa"/>
            <w:vMerge w:val="continue"/>
            <w:vAlign w:val="center"/>
          </w:tcPr>
          <w:p w14:paraId="638203E8">
            <w:pPr>
              <w:widowControl w:val="0"/>
              <w:numPr>
                <w:ilvl w:val="0"/>
                <w:numId w:val="0"/>
              </w:numPr>
              <w:spacing w:line="360" w:lineRule="auto"/>
              <w:jc w:val="center"/>
              <w:rPr>
                <w:rFonts w:hint="default" w:ascii="Times New Roman" w:hAnsi="Times New Roman" w:cs="Times New Roman" w:eastAsiaTheme="minorEastAsia"/>
                <w:vertAlign w:val="baseline"/>
                <w:lang w:val="en-US" w:eastAsia="zh-CN"/>
              </w:rPr>
            </w:pPr>
          </w:p>
        </w:tc>
        <w:tc>
          <w:tcPr>
            <w:tcW w:w="1100" w:type="dxa"/>
            <w:vAlign w:val="center"/>
          </w:tcPr>
          <w:p w14:paraId="37B22325">
            <w:pPr>
              <w:widowControl w:val="0"/>
              <w:numPr>
                <w:ilvl w:val="0"/>
                <w:numId w:val="0"/>
              </w:numPr>
              <w:spacing w:line="360" w:lineRule="auto"/>
              <w:jc w:val="center"/>
              <w:rPr>
                <w:rFonts w:hint="default" w:ascii="Times New Roman" w:hAnsi="Times New Roman" w:cs="Times New Roman" w:eastAsiaTheme="minorEastAsia"/>
                <w:vertAlign w:val="baseline"/>
                <w:lang w:val="en-US" w:eastAsia="zh-CN"/>
              </w:rPr>
            </w:pPr>
            <w:r>
              <w:rPr>
                <w:rFonts w:hint="default" w:ascii="Times New Roman" w:hAnsi="Times New Roman" w:cs="Times New Roman"/>
                <w:vertAlign w:val="baseline"/>
                <w:lang w:val="en-US" w:eastAsia="zh-CN"/>
              </w:rPr>
              <w:t>影响因素</w:t>
            </w:r>
          </w:p>
        </w:tc>
        <w:tc>
          <w:tcPr>
            <w:tcW w:w="3864" w:type="dxa"/>
            <w:vAlign w:val="center"/>
          </w:tcPr>
          <w:p w14:paraId="6BAD5280">
            <w:pPr>
              <w:widowControl w:val="0"/>
              <w:numPr>
                <w:ilvl w:val="0"/>
                <w:numId w:val="0"/>
              </w:numPr>
              <w:spacing w:line="360" w:lineRule="auto"/>
              <w:jc w:val="center"/>
              <w:rPr>
                <w:rFonts w:hint="default" w:ascii="Times New Roman" w:hAnsi="Times New Roman" w:cs="Times New Roman" w:eastAsiaTheme="minorEastAsia"/>
                <w:vertAlign w:val="baseline"/>
                <w:lang w:val="en-US" w:eastAsia="zh-CN"/>
              </w:rPr>
            </w:pPr>
            <w:r>
              <w:rPr>
                <w:rFonts w:hint="default" w:ascii="Times New Roman" w:hAnsi="Times New Roman" w:eastAsia="楷体_GB2312" w:cs="Times New Roman"/>
                <w:color w:val="FF0000"/>
                <w:u w:val="single" w:color="000000"/>
                <w:lang w:val="en-US" w:eastAsia="zh-CN"/>
              </w:rPr>
              <w:t xml:space="preserve">  自然  </w:t>
            </w:r>
            <w:r>
              <w:rPr>
                <w:rFonts w:hint="default" w:ascii="Times New Roman" w:hAnsi="Times New Roman" w:cs="Times New Roman"/>
                <w:vertAlign w:val="baseline"/>
                <w:lang w:val="en-US" w:eastAsia="zh-CN"/>
              </w:rPr>
              <w:t>因素</w:t>
            </w:r>
          </w:p>
        </w:tc>
        <w:tc>
          <w:tcPr>
            <w:tcW w:w="4567" w:type="dxa"/>
            <w:vAlign w:val="center"/>
          </w:tcPr>
          <w:p w14:paraId="358A00B9">
            <w:pPr>
              <w:widowControl w:val="0"/>
              <w:numPr>
                <w:ilvl w:val="0"/>
                <w:numId w:val="0"/>
              </w:numPr>
              <w:spacing w:line="360" w:lineRule="auto"/>
              <w:jc w:val="center"/>
              <w:rPr>
                <w:rFonts w:hint="default" w:ascii="Times New Roman" w:hAnsi="Times New Roman" w:cs="Times New Roman" w:eastAsiaTheme="minorEastAsia"/>
                <w:vertAlign w:val="baseline"/>
                <w:lang w:val="en-US" w:eastAsia="zh-CN"/>
              </w:rPr>
            </w:pPr>
            <w:r>
              <w:rPr>
                <w:rFonts w:hint="default" w:ascii="Times New Roman" w:hAnsi="Times New Roman" w:eastAsia="楷体_GB2312" w:cs="Times New Roman"/>
                <w:color w:val="FF0000"/>
                <w:u w:val="single" w:color="000000"/>
                <w:lang w:val="en-US" w:eastAsia="zh-CN"/>
              </w:rPr>
              <w:t xml:space="preserve">  人类活动  </w:t>
            </w:r>
            <w:r>
              <w:rPr>
                <w:rFonts w:hint="default" w:ascii="Times New Roman" w:hAnsi="Times New Roman" w:cs="Times New Roman"/>
                <w:vertAlign w:val="baseline"/>
                <w:lang w:val="en-US" w:eastAsia="zh-CN"/>
              </w:rPr>
              <w:t>较为关键</w:t>
            </w:r>
          </w:p>
        </w:tc>
      </w:tr>
      <w:tr w14:paraId="139B7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1" w:type="dxa"/>
            <w:gridSpan w:val="2"/>
            <w:vAlign w:val="center"/>
          </w:tcPr>
          <w:p w14:paraId="646DDF50">
            <w:pPr>
              <w:widowControl w:val="0"/>
              <w:numPr>
                <w:ilvl w:val="0"/>
                <w:numId w:val="0"/>
              </w:numPr>
              <w:spacing w:line="360" w:lineRule="auto"/>
              <w:jc w:val="center"/>
              <w:rPr>
                <w:rFonts w:hint="default" w:ascii="Times New Roman" w:hAnsi="Times New Roman" w:cs="Times New Roman" w:eastAsiaTheme="minorEastAsia"/>
                <w:vertAlign w:val="baseline"/>
                <w:lang w:val="en-US" w:eastAsia="zh-CN"/>
              </w:rPr>
            </w:pPr>
            <w:r>
              <w:rPr>
                <w:rFonts w:hint="default" w:ascii="Times New Roman" w:hAnsi="Times New Roman" w:cs="Times New Roman"/>
                <w:vertAlign w:val="baseline"/>
                <w:lang w:val="en-US" w:eastAsia="zh-CN"/>
              </w:rPr>
              <w:t>相同点</w:t>
            </w:r>
          </w:p>
        </w:tc>
        <w:tc>
          <w:tcPr>
            <w:tcW w:w="8431" w:type="dxa"/>
            <w:gridSpan w:val="2"/>
          </w:tcPr>
          <w:p w14:paraId="55B1C961">
            <w:pPr>
              <w:widowControl w:val="0"/>
              <w:numPr>
                <w:ilvl w:val="0"/>
                <w:numId w:val="0"/>
              </w:numPr>
              <w:spacing w:line="360" w:lineRule="auto"/>
              <w:jc w:val="both"/>
              <w:rPr>
                <w:rFonts w:hint="default" w:ascii="Times New Roman" w:hAnsi="Times New Roman" w:cs="Times New Roman" w:eastAsiaTheme="minorEastAsia"/>
                <w:vertAlign w:val="baseline"/>
                <w:lang w:val="en-US" w:eastAsia="zh-CN"/>
              </w:rPr>
            </w:pPr>
            <w:r>
              <w:rPr>
                <w:rFonts w:hint="default" w:ascii="Times New Roman" w:hAnsi="Times New Roman" w:cs="Times New Roman"/>
                <w:vertAlign w:val="baseline"/>
                <w:lang w:val="en-US" w:eastAsia="zh-CN"/>
              </w:rPr>
              <w:t>都是从结构简单的群落发展为结构复杂的群落，群落中的物种数量和群落层次增多，土壤、光能得到更充分的利用</w:t>
            </w:r>
          </w:p>
        </w:tc>
      </w:tr>
    </w:tbl>
    <w:p w14:paraId="20AE0640">
      <w:pPr>
        <w:numPr>
          <w:ilvl w:val="0"/>
          <w:numId w:val="0"/>
        </w:numPr>
        <w:rPr>
          <w:rFonts w:hint="eastAsia"/>
          <w:sz w:val="32"/>
          <w:szCs w:val="32"/>
          <w:lang w:val="en-US" w:eastAsia="zh-CN"/>
        </w:rPr>
      </w:pPr>
    </w:p>
    <w:p w14:paraId="3EB79460">
      <w:pPr>
        <w:numPr>
          <w:ilvl w:val="0"/>
          <w:numId w:val="0"/>
        </w:numPr>
        <w:rPr>
          <w:rFonts w:hint="eastAsia"/>
          <w:sz w:val="32"/>
          <w:szCs w:val="32"/>
          <w:lang w:val="en-US" w:eastAsia="zh-CN"/>
        </w:rPr>
      </w:pPr>
    </w:p>
    <w:p w14:paraId="2CF0E982">
      <w:pPr>
        <w:numPr>
          <w:ilvl w:val="0"/>
          <w:numId w:val="1"/>
        </w:numPr>
        <w:ind w:left="0" w:leftChars="0" w:firstLine="0" w:firstLineChars="0"/>
        <w:rPr>
          <w:rFonts w:hint="eastAsia"/>
          <w:sz w:val="32"/>
          <w:szCs w:val="32"/>
          <w:lang w:val="en-US" w:eastAsia="zh-CN"/>
        </w:rPr>
      </w:pPr>
      <w:r>
        <w:rPr>
          <w:rFonts w:hint="eastAsia"/>
          <w:sz w:val="32"/>
          <w:szCs w:val="32"/>
          <w:lang w:val="en-US" w:eastAsia="zh-CN"/>
        </w:rPr>
        <w:t>练习模块</w:t>
      </w:r>
    </w:p>
    <w:p w14:paraId="5362489B">
      <w:pPr>
        <w:jc w:val="left"/>
        <w:textAlignment w:val="center"/>
        <w:rPr>
          <w:rFonts w:ascii="宋体" w:hAnsi="宋体" w:eastAsia="宋体" w:cs="宋体"/>
          <w:b/>
          <w:i w:val="0"/>
          <w:color w:val="000000"/>
          <w:sz w:val="21"/>
        </w:rPr>
      </w:pPr>
      <w:r>
        <w:rPr>
          <w:rFonts w:ascii="宋体" w:hAnsi="宋体" w:eastAsia="宋体" w:cs="宋体"/>
          <w:b/>
          <w:i w:val="0"/>
          <w:color w:val="000000"/>
          <w:sz w:val="21"/>
        </w:rPr>
        <w:t>一、单选题</w:t>
      </w:r>
    </w:p>
    <w:p w14:paraId="0B98517C">
      <w:pPr>
        <w:shd w:val="clear" w:color="auto" w:fill="auto"/>
        <w:spacing w:line="360" w:lineRule="auto"/>
        <w:jc w:val="left"/>
        <w:textAlignment w:val="center"/>
        <w:rPr>
          <w:sz w:val="21"/>
        </w:rPr>
      </w:pPr>
      <w:r>
        <w:rPr>
          <w:sz w:val="21"/>
        </w:rPr>
        <w:t>1．下列关于生物群落的叙述，错误的是（</w:t>
      </w:r>
      <w:r>
        <w:rPr>
          <w:rFonts w:ascii="Times New Roman" w:hAnsi="Times New Roman" w:eastAsia="Times New Roman" w:cs="Times New Roman"/>
          <w:kern w:val="0"/>
          <w:sz w:val="24"/>
          <w:szCs w:val="24"/>
        </w:rPr>
        <w:t>    </w:t>
      </w:r>
      <w:r>
        <w:rPr>
          <w:sz w:val="21"/>
        </w:rPr>
        <w:t>）</w:t>
      </w:r>
    </w:p>
    <w:p w14:paraId="0EC0BFCF">
      <w:pPr>
        <w:shd w:val="clear" w:color="auto" w:fill="auto"/>
        <w:spacing w:line="360" w:lineRule="auto"/>
        <w:ind w:left="300"/>
        <w:jc w:val="left"/>
        <w:textAlignment w:val="center"/>
        <w:rPr>
          <w:sz w:val="21"/>
        </w:rPr>
      </w:pPr>
      <w:r>
        <w:rPr>
          <w:sz w:val="21"/>
        </w:rPr>
        <w:t>A．夏枯草在每年春季开花、夏季结束生活周期，使群落物种丰富度呈现周期性变化</w:t>
      </w:r>
    </w:p>
    <w:p w14:paraId="1753B388">
      <w:pPr>
        <w:shd w:val="clear" w:color="auto" w:fill="auto"/>
        <w:spacing w:line="360" w:lineRule="auto"/>
        <w:ind w:left="300"/>
        <w:jc w:val="left"/>
        <w:textAlignment w:val="center"/>
        <w:rPr>
          <w:sz w:val="21"/>
        </w:rPr>
      </w:pPr>
      <w:r>
        <w:rPr>
          <w:sz w:val="21"/>
        </w:rPr>
        <w:t>B．竹林中凤尾竹高低错落有致，体现了群落的垂直结构</w:t>
      </w:r>
    </w:p>
    <w:p w14:paraId="4CE0FEBE">
      <w:pPr>
        <w:shd w:val="clear" w:color="auto" w:fill="auto"/>
        <w:spacing w:line="360" w:lineRule="auto"/>
        <w:ind w:left="300"/>
        <w:jc w:val="left"/>
        <w:textAlignment w:val="center"/>
        <w:rPr>
          <w:sz w:val="21"/>
        </w:rPr>
      </w:pPr>
      <w:r>
        <w:rPr>
          <w:sz w:val="21"/>
        </w:rPr>
        <w:t>C．某河流沿河岸到河床有不同的植物配置，体现了群落的水平结构</w:t>
      </w:r>
    </w:p>
    <w:p w14:paraId="567B815B">
      <w:pPr>
        <w:shd w:val="clear" w:color="auto" w:fill="auto"/>
        <w:spacing w:line="360" w:lineRule="auto"/>
        <w:ind w:left="300"/>
        <w:jc w:val="left"/>
        <w:textAlignment w:val="center"/>
        <w:rPr>
          <w:sz w:val="21"/>
        </w:rPr>
      </w:pPr>
      <w:r>
        <w:rPr>
          <w:sz w:val="21"/>
        </w:rPr>
        <w:t>D．阴生植物的茎细长，叶薄，叶绿体大，呈深绿色，适应在弱光下生存</w:t>
      </w:r>
    </w:p>
    <w:p w14:paraId="0D923FF5">
      <w:pPr>
        <w:shd w:val="clear" w:color="auto" w:fill="auto"/>
        <w:spacing w:line="360" w:lineRule="auto"/>
        <w:jc w:val="left"/>
        <w:textAlignment w:val="center"/>
        <w:rPr>
          <w:sz w:val="21"/>
        </w:rPr>
      </w:pPr>
      <w:r>
        <w:rPr>
          <w:sz w:val="21"/>
        </w:rPr>
        <w:t>2．绿叶通过气孔从外界吸收CO</w:t>
      </w:r>
      <w:r>
        <w:rPr>
          <w:rFonts w:ascii="Cambria Math" w:hAnsi="Cambria Math" w:eastAsia="Cambria Math" w:cs="Cambria Math"/>
          <w:sz w:val="21"/>
        </w:rPr>
        <w:t>₂</w:t>
      </w:r>
      <w:r>
        <w:rPr>
          <w:sz w:val="21"/>
        </w:rPr>
        <w:t>，气孔是由一对半月形的保卫细胞构成的，由于保卫细胞的细胞壁厚薄不均匀，当细胞吸水膨胀时，内壁（远离气孔一侧）伸展拉伸，牵动细胞壁外壁（靠近气孔一侧）内陷，使得气孔张开，当细胞失水时，内外壁都拉直，气孔将闭合。该实例体现了生物学中“结构与功能相适应”的观念。下列叙述与上述观念相符合的是（</w:t>
      </w:r>
      <w:r>
        <w:rPr>
          <w:rFonts w:ascii="Times New Roman" w:hAnsi="Times New Roman" w:eastAsia="Times New Roman" w:cs="Times New Roman"/>
          <w:kern w:val="0"/>
          <w:sz w:val="24"/>
          <w:szCs w:val="24"/>
        </w:rPr>
        <w:t>    </w:t>
      </w:r>
      <w:r>
        <w:rPr>
          <w:sz w:val="21"/>
        </w:rPr>
        <w:t>）</w:t>
      </w:r>
    </w:p>
    <w:p w14:paraId="04D00860">
      <w:pPr>
        <w:shd w:val="clear" w:color="auto" w:fill="auto"/>
        <w:spacing w:line="360" w:lineRule="auto"/>
        <w:ind w:left="300"/>
        <w:jc w:val="left"/>
        <w:textAlignment w:val="center"/>
        <w:rPr>
          <w:sz w:val="21"/>
        </w:rPr>
      </w:pPr>
      <w:r>
        <w:rPr>
          <w:sz w:val="21"/>
        </w:rPr>
        <w:t>A．热带雨林中的乔木往往有板状根，树的分支发达，在树顶形成树冠，以争夺阳光</w:t>
      </w:r>
    </w:p>
    <w:p w14:paraId="3622DDF2">
      <w:pPr>
        <w:shd w:val="clear" w:color="auto" w:fill="auto"/>
        <w:spacing w:line="360" w:lineRule="auto"/>
        <w:ind w:left="300"/>
        <w:jc w:val="left"/>
        <w:textAlignment w:val="center"/>
        <w:rPr>
          <w:sz w:val="21"/>
        </w:rPr>
      </w:pPr>
      <w:r>
        <w:rPr>
          <w:sz w:val="21"/>
        </w:rPr>
        <w:t>B．大肠杆菌具有鞭毛，有利于其运动</w:t>
      </w:r>
    </w:p>
    <w:p w14:paraId="61744E80">
      <w:pPr>
        <w:shd w:val="clear" w:color="auto" w:fill="auto"/>
        <w:spacing w:line="360" w:lineRule="auto"/>
        <w:ind w:left="300"/>
        <w:jc w:val="left"/>
        <w:textAlignment w:val="center"/>
        <w:rPr>
          <w:sz w:val="21"/>
        </w:rPr>
      </w:pPr>
      <w:r>
        <w:rPr>
          <w:sz w:val="21"/>
        </w:rPr>
        <w:t>C．线粒体内膜凹陷折叠成嵴，有利于葡萄糖分解酶的附着</w:t>
      </w:r>
    </w:p>
    <w:p w14:paraId="436BC514">
      <w:pPr>
        <w:shd w:val="clear" w:color="auto" w:fill="auto"/>
        <w:spacing w:line="360" w:lineRule="auto"/>
        <w:ind w:left="300"/>
        <w:jc w:val="left"/>
        <w:textAlignment w:val="center"/>
        <w:rPr>
          <w:sz w:val="21"/>
        </w:rPr>
      </w:pPr>
      <w:r>
        <w:rPr>
          <w:sz w:val="21"/>
        </w:rPr>
        <w:t>D．卵细胞体积较大，有利于提高与周围环境进行物质交换的效率</w:t>
      </w:r>
    </w:p>
    <w:p w14:paraId="1C54E368">
      <w:pPr>
        <w:shd w:val="clear" w:color="auto" w:fill="auto"/>
        <w:spacing w:line="360" w:lineRule="auto"/>
        <w:jc w:val="left"/>
        <w:textAlignment w:val="center"/>
        <w:rPr>
          <w:sz w:val="21"/>
        </w:rPr>
      </w:pPr>
      <w:r>
        <w:rPr>
          <w:sz w:val="21"/>
        </w:rPr>
        <w:t>3．荒漠中生活着的植物主要有仙人掌植物、骆驼刺属植物等，动物主要是爬行类、啮齿目、鸟类、昆虫等。下列关于荒漠生物群落的叙述，正确的是（</w:t>
      </w:r>
      <w:r>
        <w:rPr>
          <w:rFonts w:ascii="Times New Roman" w:hAnsi="Times New Roman" w:eastAsia="Times New Roman" w:cs="Times New Roman"/>
          <w:kern w:val="0"/>
          <w:sz w:val="24"/>
          <w:szCs w:val="24"/>
        </w:rPr>
        <w:t>    </w:t>
      </w:r>
      <w:r>
        <w:rPr>
          <w:sz w:val="21"/>
        </w:rPr>
        <w:t>）</w:t>
      </w:r>
    </w:p>
    <w:p w14:paraId="1DFC8A8E">
      <w:pPr>
        <w:shd w:val="clear" w:color="auto" w:fill="auto"/>
        <w:spacing w:line="360" w:lineRule="auto"/>
        <w:ind w:left="300"/>
        <w:jc w:val="left"/>
        <w:textAlignment w:val="center"/>
        <w:rPr>
          <w:sz w:val="21"/>
        </w:rPr>
      </w:pPr>
      <w:r>
        <w:rPr>
          <w:sz w:val="21"/>
        </w:rPr>
        <w:t>A．进入雨季后，群落中会出现一些生长、繁殖周期很短的植物，体现了群落的季节性</w:t>
      </w:r>
    </w:p>
    <w:p w14:paraId="69048CF4">
      <w:pPr>
        <w:shd w:val="clear" w:color="auto" w:fill="auto"/>
        <w:spacing w:line="360" w:lineRule="auto"/>
        <w:ind w:left="300"/>
        <w:jc w:val="left"/>
        <w:textAlignment w:val="center"/>
        <w:rPr>
          <w:sz w:val="21"/>
        </w:rPr>
      </w:pPr>
      <w:r>
        <w:rPr>
          <w:sz w:val="21"/>
        </w:rPr>
        <w:t>B．研究爬行类动物蜥蜴的生态位，只需要研究它的洞穴分布、主要食物来源、天敌</w:t>
      </w:r>
    </w:p>
    <w:p w14:paraId="531A3F51">
      <w:pPr>
        <w:shd w:val="clear" w:color="auto" w:fill="auto"/>
        <w:spacing w:line="360" w:lineRule="auto"/>
        <w:ind w:left="300"/>
        <w:jc w:val="left"/>
        <w:textAlignment w:val="center"/>
        <w:rPr>
          <w:sz w:val="21"/>
        </w:rPr>
      </w:pPr>
      <w:r>
        <w:rPr>
          <w:sz w:val="21"/>
        </w:rPr>
        <w:t>C．荒漠生物群落中生存的植物普遍矮小且稀疏，只具有水平结构，不具有垂直结构</w:t>
      </w:r>
    </w:p>
    <w:p w14:paraId="11695A54">
      <w:pPr>
        <w:shd w:val="clear" w:color="auto" w:fill="auto"/>
        <w:spacing w:line="360" w:lineRule="auto"/>
        <w:ind w:left="300"/>
        <w:jc w:val="left"/>
        <w:textAlignment w:val="center"/>
        <w:rPr>
          <w:sz w:val="21"/>
        </w:rPr>
      </w:pPr>
      <w:r>
        <w:rPr>
          <w:sz w:val="21"/>
        </w:rPr>
        <w:t>D．匍根骆驼蓬数量最多，因此是荒漠生物群落中的优势种，这种优势是可以改变的</w:t>
      </w:r>
    </w:p>
    <w:p w14:paraId="2DADEE3A">
      <w:pPr>
        <w:shd w:val="clear" w:color="auto" w:fill="auto"/>
        <w:spacing w:line="360" w:lineRule="auto"/>
        <w:jc w:val="left"/>
        <w:textAlignment w:val="center"/>
        <w:rPr>
          <w:sz w:val="21"/>
        </w:rPr>
      </w:pPr>
      <w:r>
        <w:rPr>
          <w:sz w:val="21"/>
        </w:rPr>
        <w:t>4．天山山脉沿东西向横贯我国新疆中部，从天山北麓到山顶依次可以看到荒漠、草原、森林、草甸等群落类型，研究表明这些群落类型千百年来基本不变，对此下列说法错误的是（</w:t>
      </w:r>
      <w:r>
        <w:rPr>
          <w:rFonts w:ascii="Times New Roman" w:hAnsi="Times New Roman" w:eastAsia="Times New Roman" w:cs="Times New Roman"/>
          <w:kern w:val="0"/>
          <w:sz w:val="24"/>
          <w:szCs w:val="24"/>
        </w:rPr>
        <w:t>    </w:t>
      </w:r>
      <w:r>
        <w:rPr>
          <w:sz w:val="21"/>
        </w:rPr>
        <w:t>）</w:t>
      </w:r>
    </w:p>
    <w:p w14:paraId="23BDE178">
      <w:pPr>
        <w:shd w:val="clear" w:color="auto" w:fill="auto"/>
        <w:spacing w:line="360" w:lineRule="auto"/>
        <w:ind w:left="300"/>
        <w:jc w:val="left"/>
        <w:textAlignment w:val="center"/>
        <w:rPr>
          <w:sz w:val="21"/>
        </w:rPr>
      </w:pPr>
      <w:r>
        <w:rPr>
          <w:sz w:val="21"/>
        </w:rPr>
        <w:t>A．由于温度、降雨量等随季节变化，森林的外貌和结构也随之变化，该现象属于群落的演替</w:t>
      </w:r>
    </w:p>
    <w:p w14:paraId="2A1ED801">
      <w:pPr>
        <w:shd w:val="clear" w:color="auto" w:fill="auto"/>
        <w:spacing w:line="360" w:lineRule="auto"/>
        <w:ind w:left="300"/>
        <w:jc w:val="left"/>
        <w:textAlignment w:val="center"/>
        <w:rPr>
          <w:sz w:val="21"/>
        </w:rPr>
      </w:pPr>
      <w:r>
        <w:rPr>
          <w:sz w:val="21"/>
        </w:rPr>
        <w:t>B．群落是一定时空条件下不同物种的天然群聚，其形成是不同物种协同进化的结果</w:t>
      </w:r>
    </w:p>
    <w:p w14:paraId="5CF51C62">
      <w:pPr>
        <w:shd w:val="clear" w:color="auto" w:fill="auto"/>
        <w:spacing w:line="360" w:lineRule="auto"/>
        <w:ind w:left="300"/>
        <w:jc w:val="left"/>
        <w:textAlignment w:val="center"/>
        <w:rPr>
          <w:sz w:val="21"/>
        </w:rPr>
      </w:pPr>
      <w:r>
        <w:rPr>
          <w:sz w:val="21"/>
        </w:rPr>
        <w:t>C．物种组成是决定不同群落性质最重要的因素，也是区别草原和草甸群落的重要特征</w:t>
      </w:r>
    </w:p>
    <w:p w14:paraId="499B295B">
      <w:pPr>
        <w:shd w:val="clear" w:color="auto" w:fill="auto"/>
        <w:spacing w:line="360" w:lineRule="auto"/>
        <w:ind w:left="300"/>
        <w:jc w:val="left"/>
        <w:textAlignment w:val="center"/>
        <w:rPr>
          <w:sz w:val="21"/>
        </w:rPr>
      </w:pPr>
      <w:r>
        <w:rPr>
          <w:sz w:val="21"/>
        </w:rPr>
        <w:t>D．从山麓到山顶分布着不同的植被类群，不属于群落的垂直结构</w:t>
      </w:r>
    </w:p>
    <w:p w14:paraId="342BFB9E">
      <w:pPr>
        <w:shd w:val="clear" w:color="auto" w:fill="auto"/>
        <w:spacing w:line="360" w:lineRule="auto"/>
        <w:jc w:val="left"/>
        <w:textAlignment w:val="center"/>
        <w:rPr>
          <w:sz w:val="21"/>
        </w:rPr>
      </w:pPr>
      <w:r>
        <w:rPr>
          <w:sz w:val="21"/>
        </w:rPr>
        <w:t>5．下图为某地区的青冈栎林被采伐后的演替过程示意图，有关叙述错误的是（</w:t>
      </w:r>
      <w:r>
        <w:rPr>
          <w:rFonts w:ascii="Times New Roman" w:hAnsi="Times New Roman" w:eastAsia="Times New Roman" w:cs="Times New Roman"/>
          <w:kern w:val="0"/>
          <w:sz w:val="24"/>
          <w:szCs w:val="24"/>
        </w:rPr>
        <w:t>    </w:t>
      </w:r>
      <w:r>
        <w:rPr>
          <w:sz w:val="21"/>
        </w:rPr>
        <w:t>）</w:t>
      </w:r>
    </w:p>
    <w:p w14:paraId="64559650">
      <w:pPr>
        <w:shd w:val="clear" w:color="auto" w:fill="auto"/>
        <w:spacing w:line="360" w:lineRule="auto"/>
        <w:jc w:val="left"/>
        <w:textAlignment w:val="center"/>
        <w:rPr>
          <w:sz w:val="21"/>
        </w:rPr>
      </w:pPr>
      <w:r>
        <w:rPr>
          <w:rFonts w:ascii="Times New Roman" w:hAnsi="Times New Roman" w:eastAsia="Times New Roman" w:cs="Times New Roman"/>
          <w:strike w:val="0"/>
          <w:kern w:val="0"/>
          <w:sz w:val="24"/>
          <w:szCs w:val="24"/>
          <w:u w:val="none"/>
        </w:rPr>
        <w:drawing>
          <wp:inline distT="0" distB="0" distL="114300" distR="114300">
            <wp:extent cx="5276215" cy="526415"/>
            <wp:effectExtent l="0" t="0" r="6985" b="6985"/>
            <wp:docPr id="100003" name="图片 100003" descr="@@@4fe82159-83d8-47e9-b148-f06a72360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4fe82159-83d8-47e9-b148-f06a72360466"/>
                    <pic:cNvPicPr>
                      <a:picLocks noChangeAspect="1"/>
                    </pic:cNvPicPr>
                  </pic:nvPicPr>
                  <pic:blipFill>
                    <a:blip r:embed="rId5"/>
                    <a:stretch>
                      <a:fillRect/>
                    </a:stretch>
                  </pic:blipFill>
                  <pic:spPr>
                    <a:xfrm>
                      <a:off x="0" y="0"/>
                      <a:ext cx="5276800" cy="526894"/>
                    </a:xfrm>
                    <a:prstGeom prst="rect">
                      <a:avLst/>
                    </a:prstGeom>
                  </pic:spPr>
                </pic:pic>
              </a:graphicData>
            </a:graphic>
          </wp:inline>
        </w:drawing>
      </w:r>
    </w:p>
    <w:p w14:paraId="0E725DE7">
      <w:pPr>
        <w:shd w:val="clear" w:color="auto" w:fill="auto"/>
        <w:spacing w:line="360" w:lineRule="auto"/>
        <w:ind w:left="300"/>
        <w:jc w:val="left"/>
        <w:textAlignment w:val="center"/>
        <w:rPr>
          <w:sz w:val="21"/>
        </w:rPr>
      </w:pPr>
      <w:r>
        <w:rPr>
          <w:sz w:val="21"/>
        </w:rPr>
        <w:t>A．采伐迹地仍保留了原青冈栎林的生存条件，故该演替为次生演替</w:t>
      </w:r>
    </w:p>
    <w:p w14:paraId="332648FE">
      <w:pPr>
        <w:shd w:val="clear" w:color="auto" w:fill="auto"/>
        <w:spacing w:line="360" w:lineRule="auto"/>
        <w:ind w:left="300"/>
        <w:jc w:val="left"/>
        <w:textAlignment w:val="center"/>
        <w:rPr>
          <w:sz w:val="21"/>
        </w:rPr>
      </w:pPr>
      <w:r>
        <w:rPr>
          <w:sz w:val="21"/>
        </w:rPr>
        <w:t>B．草本植物阶段各物种的生态位高度重叠，阳光利用比灌木阶段更充分</w:t>
      </w:r>
    </w:p>
    <w:p w14:paraId="4025052C">
      <w:pPr>
        <w:shd w:val="clear" w:color="auto" w:fill="auto"/>
        <w:spacing w:line="360" w:lineRule="auto"/>
        <w:ind w:left="300"/>
        <w:jc w:val="left"/>
        <w:textAlignment w:val="center"/>
        <w:rPr>
          <w:sz w:val="21"/>
        </w:rPr>
      </w:pPr>
      <w:r>
        <w:rPr>
          <w:sz w:val="21"/>
        </w:rPr>
        <w:t>C．与马尾松林相比，马尾松、青冈栎混交林的乔木层植物种间竞争会增强</w:t>
      </w:r>
    </w:p>
    <w:p w14:paraId="0DCDA35C">
      <w:pPr>
        <w:shd w:val="clear" w:color="auto" w:fill="auto"/>
        <w:spacing w:line="360" w:lineRule="auto"/>
        <w:ind w:left="300"/>
        <w:jc w:val="left"/>
        <w:textAlignment w:val="center"/>
        <w:rPr>
          <w:sz w:val="21"/>
        </w:rPr>
      </w:pPr>
      <w:r>
        <w:rPr>
          <w:sz w:val="21"/>
        </w:rPr>
        <w:t>D．在青冈栎林群落中，林下喜阴植物的种群密度与林冠层的郁闭度有关</w:t>
      </w:r>
    </w:p>
    <w:p w14:paraId="2CF7D2FB">
      <w:pPr>
        <w:shd w:val="clear" w:color="auto" w:fill="auto"/>
        <w:spacing w:line="360" w:lineRule="auto"/>
        <w:jc w:val="left"/>
        <w:textAlignment w:val="center"/>
        <w:rPr>
          <w:sz w:val="21"/>
        </w:rPr>
      </w:pPr>
      <w:r>
        <w:rPr>
          <w:sz w:val="21"/>
        </w:rPr>
        <w:t>6．持续的过度放牧导致某草场退化，进而为布氏田鼠的繁殖提供适宜的环境条件，鼠害加剧，致使草场进一步退化。下列相关叙述，正确的是（</w:t>
      </w:r>
      <w:r>
        <w:rPr>
          <w:rFonts w:ascii="Times New Roman" w:hAnsi="Times New Roman" w:eastAsia="Times New Roman" w:cs="Times New Roman"/>
          <w:kern w:val="0"/>
          <w:sz w:val="24"/>
          <w:szCs w:val="24"/>
        </w:rPr>
        <w:t>    </w:t>
      </w:r>
      <w:r>
        <w:rPr>
          <w:sz w:val="21"/>
        </w:rPr>
        <w:t>）</w:t>
      </w:r>
    </w:p>
    <w:p w14:paraId="5015C032">
      <w:pPr>
        <w:shd w:val="clear" w:color="auto" w:fill="auto"/>
        <w:spacing w:line="360" w:lineRule="auto"/>
        <w:ind w:left="300"/>
        <w:jc w:val="left"/>
        <w:textAlignment w:val="center"/>
        <w:rPr>
          <w:sz w:val="21"/>
        </w:rPr>
      </w:pPr>
      <w:r>
        <w:rPr>
          <w:sz w:val="21"/>
        </w:rPr>
        <w:t>A．该草场具有垂直结构，其垂直结构比森林简单</w:t>
      </w:r>
    </w:p>
    <w:p w14:paraId="7D103302">
      <w:pPr>
        <w:shd w:val="clear" w:color="auto" w:fill="auto"/>
        <w:spacing w:line="360" w:lineRule="auto"/>
        <w:ind w:left="300"/>
        <w:jc w:val="left"/>
        <w:textAlignment w:val="center"/>
        <w:rPr>
          <w:sz w:val="21"/>
        </w:rPr>
      </w:pPr>
      <w:r>
        <w:rPr>
          <w:sz w:val="21"/>
        </w:rPr>
        <w:t>B．布氏田鼠的繁殖导致草场进一步退化属于负反馈调节</w:t>
      </w:r>
    </w:p>
    <w:p w14:paraId="56EA77BA">
      <w:pPr>
        <w:shd w:val="clear" w:color="auto" w:fill="auto"/>
        <w:spacing w:line="360" w:lineRule="auto"/>
        <w:ind w:left="300"/>
        <w:jc w:val="left"/>
        <w:textAlignment w:val="center"/>
        <w:rPr>
          <w:sz w:val="21"/>
        </w:rPr>
      </w:pPr>
      <w:r>
        <w:rPr>
          <w:sz w:val="21"/>
        </w:rPr>
        <w:t>C．过度放牧和鼠害分别导致草场发生次生演替和初生演替</w:t>
      </w:r>
    </w:p>
    <w:p w14:paraId="7CA81A48">
      <w:pPr>
        <w:shd w:val="clear" w:color="auto" w:fill="auto"/>
        <w:spacing w:line="360" w:lineRule="auto"/>
        <w:ind w:left="300"/>
        <w:jc w:val="left"/>
        <w:textAlignment w:val="center"/>
        <w:rPr>
          <w:sz w:val="21"/>
        </w:rPr>
      </w:pPr>
      <w:r>
        <w:rPr>
          <w:sz w:val="21"/>
        </w:rPr>
        <w:t>D．人类活动只改变群落演替的速度不改变群落演替的方向</w:t>
      </w:r>
    </w:p>
    <w:p w14:paraId="5500F3B3">
      <w:pPr>
        <w:shd w:val="clear" w:color="auto" w:fill="auto"/>
        <w:spacing w:line="360" w:lineRule="auto"/>
        <w:jc w:val="left"/>
        <w:textAlignment w:val="center"/>
        <w:rPr>
          <w:sz w:val="21"/>
        </w:rPr>
      </w:pPr>
      <w:r>
        <w:rPr>
          <w:sz w:val="21"/>
        </w:rPr>
        <w:t>7．群落中某一种植物的个体数占该群落所有植物个体数的百分比可用相对多度表示。在某退耕农田自然演替过程中，植物物种甲、乙和丙分别在不同阶段占据优势，它们的相对多度与演替时间的关系如图所示。下列叙述错误的是（</w:t>
      </w:r>
      <w:r>
        <w:rPr>
          <w:rFonts w:ascii="Times New Roman" w:hAnsi="Times New Roman" w:eastAsia="Times New Roman" w:cs="Times New Roman"/>
          <w:kern w:val="0"/>
          <w:sz w:val="24"/>
          <w:szCs w:val="24"/>
        </w:rPr>
        <w:t>    </w:t>
      </w:r>
      <w:r>
        <w:rPr>
          <w:sz w:val="21"/>
        </w:rPr>
        <w:t>）</w:t>
      </w:r>
    </w:p>
    <w:p w14:paraId="5BAB9BA9">
      <w:pPr>
        <w:shd w:val="clear" w:color="auto" w:fill="auto"/>
        <w:spacing w:line="360" w:lineRule="auto"/>
        <w:jc w:val="left"/>
        <w:textAlignment w:val="center"/>
        <w:rPr>
          <w:sz w:val="21"/>
        </w:rPr>
      </w:pPr>
      <w:r>
        <w:rPr>
          <w:rFonts w:ascii="Times New Roman" w:hAnsi="Times New Roman" w:eastAsia="Times New Roman" w:cs="Times New Roman"/>
          <w:strike w:val="0"/>
          <w:kern w:val="0"/>
          <w:sz w:val="24"/>
          <w:szCs w:val="24"/>
          <w:u w:val="none"/>
        </w:rPr>
        <w:drawing>
          <wp:inline distT="0" distB="0" distL="114300" distR="114300">
            <wp:extent cx="1724025" cy="1106805"/>
            <wp:effectExtent l="0" t="0" r="9525" b="17145"/>
            <wp:docPr id="100005" name="图片 100005" descr="@@@2d5b8c1b-7c6f-4186-bd7a-6811cbdcffc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2d5b8c1b-7c6f-4186-bd7a-6811cbdcffc6"/>
                    <pic:cNvPicPr>
                      <a:picLocks noChangeAspect="1"/>
                    </pic:cNvPicPr>
                  </pic:nvPicPr>
                  <pic:blipFill>
                    <a:blip r:embed="rId6"/>
                    <a:stretch>
                      <a:fillRect/>
                    </a:stretch>
                  </pic:blipFill>
                  <pic:spPr>
                    <a:xfrm>
                      <a:off x="0" y="0"/>
                      <a:ext cx="1724025" cy="1106805"/>
                    </a:xfrm>
                    <a:prstGeom prst="rect">
                      <a:avLst/>
                    </a:prstGeom>
                  </pic:spPr>
                </pic:pic>
              </a:graphicData>
            </a:graphic>
          </wp:inline>
        </w:drawing>
      </w:r>
      <w:r>
        <w:rPr>
          <w:rFonts w:ascii="Times New Roman" w:hAnsi="Times New Roman" w:eastAsia="Times New Roman" w:cs="Times New Roman"/>
          <w:kern w:val="0"/>
          <w:sz w:val="24"/>
          <w:szCs w:val="24"/>
        </w:rPr>
        <w:t>  </w:t>
      </w:r>
    </w:p>
    <w:p w14:paraId="59A7A018">
      <w:pPr>
        <w:shd w:val="clear" w:color="auto" w:fill="auto"/>
        <w:spacing w:line="360" w:lineRule="auto"/>
        <w:ind w:left="300"/>
        <w:jc w:val="left"/>
        <w:textAlignment w:val="center"/>
        <w:rPr>
          <w:sz w:val="21"/>
        </w:rPr>
      </w:pPr>
      <w:r>
        <w:rPr>
          <w:sz w:val="21"/>
        </w:rPr>
        <w:t>A．退耕农田的演替类型为次生演替</w:t>
      </w:r>
    </w:p>
    <w:p w14:paraId="018D7862">
      <w:pPr>
        <w:shd w:val="clear" w:color="auto" w:fill="auto"/>
        <w:spacing w:line="360" w:lineRule="auto"/>
        <w:ind w:left="300"/>
        <w:jc w:val="left"/>
        <w:textAlignment w:val="center"/>
        <w:rPr>
          <w:sz w:val="21"/>
        </w:rPr>
      </w:pPr>
      <w:r>
        <w:rPr>
          <w:sz w:val="21"/>
        </w:rPr>
        <w:t>B．据图分析，第30年至第50年乙种群密度逐渐减小</w:t>
      </w:r>
    </w:p>
    <w:p w14:paraId="739AFB07">
      <w:pPr>
        <w:shd w:val="clear" w:color="auto" w:fill="auto"/>
        <w:spacing w:line="360" w:lineRule="auto"/>
        <w:ind w:left="300"/>
        <w:jc w:val="left"/>
        <w:textAlignment w:val="center"/>
        <w:rPr>
          <w:sz w:val="21"/>
        </w:rPr>
      </w:pPr>
      <w:r>
        <w:rPr>
          <w:sz w:val="21"/>
        </w:rPr>
        <w:t>C．丙相对多度逐渐增大，可能将取代乙成为优势种</w:t>
      </w:r>
    </w:p>
    <w:p w14:paraId="427B1ED1">
      <w:pPr>
        <w:shd w:val="clear" w:color="auto" w:fill="auto"/>
        <w:spacing w:line="360" w:lineRule="auto"/>
        <w:ind w:left="300"/>
        <w:jc w:val="left"/>
        <w:textAlignment w:val="center"/>
        <w:rPr>
          <w:sz w:val="21"/>
        </w:rPr>
      </w:pPr>
      <w:r>
        <w:rPr>
          <w:sz w:val="21"/>
        </w:rPr>
        <w:t>D．人类活动会使群落演替按照不同于自然演替的方向和速度进行</w:t>
      </w:r>
    </w:p>
    <w:p w14:paraId="78BEF227">
      <w:pPr>
        <w:shd w:val="clear" w:color="auto" w:fill="auto"/>
        <w:spacing w:line="360" w:lineRule="auto"/>
        <w:jc w:val="left"/>
        <w:textAlignment w:val="center"/>
        <w:rPr>
          <w:sz w:val="21"/>
        </w:rPr>
      </w:pPr>
      <w:r>
        <w:rPr>
          <w:sz w:val="21"/>
        </w:rPr>
        <w:t>8．生活在潮间带（海、陆过渡地带）的滨螺常以浒苔（一种藻类植物）为食。图表示某潮间带中的藻类物种数与滨螺密度的关系，下列叙述正确的是（</w:t>
      </w:r>
      <w:r>
        <w:rPr>
          <w:rFonts w:ascii="Times New Roman" w:hAnsi="Times New Roman" w:eastAsia="Times New Roman" w:cs="Times New Roman"/>
          <w:kern w:val="0"/>
          <w:sz w:val="24"/>
          <w:szCs w:val="24"/>
        </w:rPr>
        <w:t>    </w:t>
      </w:r>
      <w:r>
        <w:rPr>
          <w:sz w:val="21"/>
        </w:rPr>
        <w:t>）</w:t>
      </w:r>
    </w:p>
    <w:p w14:paraId="7E741C32">
      <w:pPr>
        <w:shd w:val="clear" w:color="auto" w:fill="auto"/>
        <w:spacing w:line="360" w:lineRule="auto"/>
        <w:jc w:val="both"/>
        <w:textAlignment w:val="center"/>
        <w:rPr>
          <w:sz w:val="21"/>
        </w:rPr>
      </w:pPr>
      <w:r>
        <w:rPr>
          <w:rFonts w:ascii="Times New Roman" w:hAnsi="Times New Roman" w:eastAsia="Times New Roman" w:cs="Times New Roman"/>
          <w:strike w:val="0"/>
          <w:kern w:val="0"/>
          <w:sz w:val="24"/>
          <w:szCs w:val="24"/>
          <w:u w:val="none"/>
        </w:rPr>
        <w:drawing>
          <wp:inline distT="0" distB="0" distL="114300" distR="114300">
            <wp:extent cx="1219200" cy="1167130"/>
            <wp:effectExtent l="0" t="0" r="0" b="13970"/>
            <wp:docPr id="100007" name="图片 100007" descr="@@@403f1041-f73b-4937-89d9-2da9e395bcf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403f1041-f73b-4937-89d9-2da9e395bcf1"/>
                    <pic:cNvPicPr>
                      <a:picLocks noChangeAspect="1"/>
                    </pic:cNvPicPr>
                  </pic:nvPicPr>
                  <pic:blipFill>
                    <a:blip r:embed="rId7"/>
                    <a:stretch>
                      <a:fillRect/>
                    </a:stretch>
                  </pic:blipFill>
                  <pic:spPr>
                    <a:xfrm>
                      <a:off x="0" y="0"/>
                      <a:ext cx="1219200" cy="1167130"/>
                    </a:xfrm>
                    <a:prstGeom prst="rect">
                      <a:avLst/>
                    </a:prstGeom>
                  </pic:spPr>
                </pic:pic>
              </a:graphicData>
            </a:graphic>
          </wp:inline>
        </w:drawing>
      </w:r>
    </w:p>
    <w:p w14:paraId="60D854C4">
      <w:pPr>
        <w:shd w:val="clear" w:color="auto" w:fill="auto"/>
        <w:spacing w:line="360" w:lineRule="auto"/>
        <w:ind w:left="300"/>
        <w:jc w:val="left"/>
        <w:textAlignment w:val="center"/>
        <w:rPr>
          <w:sz w:val="21"/>
        </w:rPr>
      </w:pPr>
      <w:r>
        <w:rPr>
          <w:sz w:val="21"/>
        </w:rPr>
        <w:t>A．滨螺密度的变化会改变潮间带中浒苔的生态位</w:t>
      </w:r>
    </w:p>
    <w:p w14:paraId="20FE97F0">
      <w:pPr>
        <w:shd w:val="clear" w:color="auto" w:fill="auto"/>
        <w:spacing w:line="360" w:lineRule="auto"/>
        <w:ind w:left="300"/>
        <w:jc w:val="left"/>
        <w:textAlignment w:val="center"/>
        <w:rPr>
          <w:sz w:val="21"/>
        </w:rPr>
      </w:pPr>
      <w:r>
        <w:rPr>
          <w:sz w:val="21"/>
        </w:rPr>
        <w:t>B．滨螺密度的增加过程中，群落发生了演替</w:t>
      </w:r>
    </w:p>
    <w:p w14:paraId="10977DA7">
      <w:pPr>
        <w:shd w:val="clear" w:color="auto" w:fill="auto"/>
        <w:spacing w:line="360" w:lineRule="auto"/>
        <w:ind w:left="300"/>
        <w:jc w:val="left"/>
        <w:textAlignment w:val="center"/>
        <w:rPr>
          <w:sz w:val="21"/>
        </w:rPr>
      </w:pPr>
      <w:r>
        <w:rPr>
          <w:sz w:val="21"/>
        </w:rPr>
        <w:t>C．随着滨螺密度增加，浒苔密度先增加后下降</w:t>
      </w:r>
    </w:p>
    <w:p w14:paraId="17E37B4F">
      <w:pPr>
        <w:shd w:val="clear" w:color="auto" w:fill="auto"/>
        <w:spacing w:line="360" w:lineRule="auto"/>
        <w:ind w:left="300"/>
        <w:jc w:val="left"/>
        <w:textAlignment w:val="center"/>
        <w:rPr>
          <w:sz w:val="21"/>
        </w:rPr>
      </w:pPr>
      <w:r>
        <w:rPr>
          <w:sz w:val="21"/>
        </w:rPr>
        <w:t>D．随着滨螺密度增加，藻类之间的竞争强度逐渐增加</w:t>
      </w:r>
    </w:p>
    <w:p w14:paraId="5E90F1CC">
      <w:pPr>
        <w:jc w:val="center"/>
        <w:textAlignment w:val="center"/>
        <w:rPr>
          <w:rFonts w:ascii="黑体" w:hAnsi="黑体" w:eastAsia="黑体" w:cs="黑体"/>
          <w:b/>
          <w:i w:val="0"/>
          <w:color w:val="000000"/>
          <w:sz w:val="30"/>
        </w:rPr>
      </w:pPr>
    </w:p>
    <w:p w14:paraId="61DD7B37">
      <w:pPr>
        <w:jc w:val="left"/>
        <w:textAlignment w:val="center"/>
        <w:rPr>
          <w:rFonts w:ascii="宋体" w:hAnsi="宋体" w:eastAsia="宋体" w:cs="宋体"/>
          <w:b/>
          <w:i w:val="0"/>
          <w:color w:val="000000"/>
          <w:sz w:val="21"/>
        </w:rPr>
      </w:pPr>
      <w:r>
        <w:rPr>
          <w:rFonts w:ascii="宋体" w:hAnsi="宋体" w:eastAsia="宋体" w:cs="宋体"/>
          <w:b/>
          <w:i w:val="0"/>
          <w:color w:val="000000"/>
          <w:sz w:val="21"/>
        </w:rPr>
        <w:t>二、多选题</w:t>
      </w:r>
    </w:p>
    <w:p w14:paraId="76D8F349">
      <w:pPr>
        <w:shd w:val="clear" w:color="auto" w:fill="auto"/>
        <w:spacing w:line="360" w:lineRule="auto"/>
        <w:jc w:val="left"/>
        <w:textAlignment w:val="center"/>
        <w:rPr>
          <w:sz w:val="21"/>
        </w:rPr>
      </w:pPr>
      <w:r>
        <w:rPr>
          <w:sz w:val="21"/>
        </w:rPr>
        <w:t>9．荒漠群落由旱生的灌木、半灌木或半乔木占优势的一类生物群落，主要分布于亚热带干旱区，往北可延伸到温带干旱区。下列有关荒漠生物群落的叙述，错误的是（　　）</w:t>
      </w:r>
    </w:p>
    <w:p w14:paraId="4160C418">
      <w:pPr>
        <w:shd w:val="clear" w:color="auto" w:fill="auto"/>
        <w:spacing w:line="360" w:lineRule="auto"/>
        <w:ind w:left="300"/>
        <w:jc w:val="left"/>
        <w:textAlignment w:val="center"/>
        <w:rPr>
          <w:sz w:val="21"/>
        </w:rPr>
      </w:pPr>
      <w:r>
        <w:rPr>
          <w:sz w:val="21"/>
        </w:rPr>
        <w:t>A．荒漠生物群落中某些爬行动物以固态尿酸盐的形式排泄含氮废物</w:t>
      </w:r>
    </w:p>
    <w:p w14:paraId="00F757E2">
      <w:pPr>
        <w:shd w:val="clear" w:color="auto" w:fill="auto"/>
        <w:spacing w:line="360" w:lineRule="auto"/>
        <w:ind w:left="300"/>
        <w:jc w:val="left"/>
        <w:textAlignment w:val="center"/>
        <w:rPr>
          <w:sz w:val="21"/>
        </w:rPr>
      </w:pPr>
      <w:r>
        <w:rPr>
          <w:sz w:val="21"/>
        </w:rPr>
        <w:t>B．动植物种类稀少，导致群落丰富度低的主要生态因素是温度</w:t>
      </w:r>
    </w:p>
    <w:p w14:paraId="7B3062B8">
      <w:pPr>
        <w:shd w:val="clear" w:color="auto" w:fill="auto"/>
        <w:spacing w:line="360" w:lineRule="auto"/>
        <w:ind w:left="300"/>
        <w:jc w:val="left"/>
        <w:textAlignment w:val="center"/>
        <w:rPr>
          <w:sz w:val="21"/>
        </w:rPr>
      </w:pPr>
      <w:r>
        <w:rPr>
          <w:sz w:val="21"/>
        </w:rPr>
        <w:t>C．荒漠生物群落生物种类较少，不具有垂直结构，但有水平结构</w:t>
      </w:r>
    </w:p>
    <w:p w14:paraId="3F82240D">
      <w:pPr>
        <w:shd w:val="clear" w:color="auto" w:fill="auto"/>
        <w:spacing w:line="360" w:lineRule="auto"/>
        <w:ind w:left="300"/>
        <w:jc w:val="left"/>
        <w:textAlignment w:val="center"/>
        <w:rPr>
          <w:sz w:val="21"/>
        </w:rPr>
      </w:pPr>
      <w:r>
        <w:rPr>
          <w:sz w:val="21"/>
        </w:rPr>
        <w:t>D．荒漠生物群落中的仙人掌在夜间进行光合作用释放CO</w:t>
      </w:r>
      <w:r>
        <w:rPr>
          <w:sz w:val="21"/>
          <w:vertAlign w:val="subscript"/>
        </w:rPr>
        <w:t>2</w:t>
      </w:r>
      <w:r>
        <w:rPr>
          <w:sz w:val="21"/>
        </w:rPr>
        <w:t>，有利于减少水分散失</w:t>
      </w:r>
    </w:p>
    <w:p w14:paraId="7433A86D">
      <w:pPr>
        <w:shd w:val="clear" w:color="auto" w:fill="auto"/>
        <w:spacing w:line="360" w:lineRule="auto"/>
        <w:jc w:val="left"/>
        <w:textAlignment w:val="center"/>
        <w:rPr>
          <w:sz w:val="21"/>
        </w:rPr>
      </w:pPr>
      <w:r>
        <w:rPr>
          <w:sz w:val="21"/>
        </w:rPr>
        <w:t>10．某水生生态系统中，分布有鱼类、鸟类、浮游动物、藻类、芦苇等生物，某些水鸟有秋季迁徙的习性。下列相关说法不正确的是（</w:t>
      </w:r>
      <w:r>
        <w:rPr>
          <w:rFonts w:ascii="Times New Roman" w:hAnsi="Times New Roman" w:eastAsia="Times New Roman" w:cs="Times New Roman"/>
          <w:kern w:val="0"/>
          <w:sz w:val="24"/>
          <w:szCs w:val="24"/>
        </w:rPr>
        <w:t>    </w:t>
      </w:r>
      <w:r>
        <w:rPr>
          <w:sz w:val="21"/>
        </w:rPr>
        <w:t>）</w:t>
      </w:r>
    </w:p>
    <w:p w14:paraId="298E98E3">
      <w:pPr>
        <w:shd w:val="clear" w:color="auto" w:fill="auto"/>
        <w:spacing w:line="360" w:lineRule="auto"/>
        <w:ind w:left="380"/>
        <w:jc w:val="left"/>
        <w:textAlignment w:val="center"/>
        <w:rPr>
          <w:sz w:val="21"/>
        </w:rPr>
      </w:pPr>
      <w:r>
        <w:rPr>
          <w:sz w:val="21"/>
        </w:rPr>
        <w:t>A．该水生生态系统的物种数量会随季节而发生变化</w:t>
      </w:r>
    </w:p>
    <w:p w14:paraId="2D9258B2">
      <w:pPr>
        <w:shd w:val="clear" w:color="auto" w:fill="auto"/>
        <w:spacing w:line="360" w:lineRule="auto"/>
        <w:ind w:left="380"/>
        <w:jc w:val="left"/>
        <w:textAlignment w:val="center"/>
        <w:rPr>
          <w:sz w:val="21"/>
        </w:rPr>
      </w:pPr>
      <w:r>
        <w:rPr>
          <w:sz w:val="21"/>
        </w:rPr>
        <w:t>B．在人的影响下，群落的结构更加复杂，物种组成完全发生改变</w:t>
      </w:r>
    </w:p>
    <w:p w14:paraId="7A227850">
      <w:pPr>
        <w:shd w:val="clear" w:color="auto" w:fill="auto"/>
        <w:spacing w:line="360" w:lineRule="auto"/>
        <w:ind w:left="380"/>
        <w:jc w:val="left"/>
        <w:textAlignment w:val="center"/>
        <w:rPr>
          <w:sz w:val="21"/>
        </w:rPr>
      </w:pPr>
      <w:r>
        <w:rPr>
          <w:sz w:val="21"/>
        </w:rPr>
        <w:t>C．芦苇和藻类的垂直分布会使该生态系统对光能的利用率降低</w:t>
      </w:r>
    </w:p>
    <w:p w14:paraId="6F84E6F3">
      <w:pPr>
        <w:shd w:val="clear" w:color="auto" w:fill="auto"/>
        <w:spacing w:line="360" w:lineRule="auto"/>
        <w:ind w:left="380"/>
        <w:jc w:val="left"/>
        <w:textAlignment w:val="center"/>
        <w:rPr>
          <w:sz w:val="21"/>
        </w:rPr>
      </w:pPr>
      <w:r>
        <w:rPr>
          <w:sz w:val="21"/>
        </w:rPr>
        <w:t>D．浮游动物、鱼类、藻类、芦苇构成了生物群落，体现了群落的垂直结构</w:t>
      </w:r>
    </w:p>
    <w:p w14:paraId="0FB154F2">
      <w:pPr>
        <w:shd w:val="clear" w:color="auto" w:fill="auto"/>
        <w:spacing w:line="360" w:lineRule="auto"/>
        <w:jc w:val="left"/>
        <w:textAlignment w:val="center"/>
        <w:rPr>
          <w:sz w:val="21"/>
        </w:rPr>
      </w:pPr>
      <w:r>
        <w:rPr>
          <w:sz w:val="21"/>
        </w:rPr>
        <w:t>11．退耕还林是将易造成水土流失的耕地，有计划地停止耕种，按照适地适树的原则，植树造林，恢复森林植被。某地区退耕还林后，农田上草本植物、灌木植物和乔木植物的物种数变化情况如图所示。下列分析正确的是（</w:t>
      </w:r>
      <w:r>
        <w:rPr>
          <w:rFonts w:ascii="Times New Roman" w:hAnsi="Times New Roman" w:eastAsia="Times New Roman" w:cs="Times New Roman"/>
          <w:kern w:val="0"/>
          <w:sz w:val="24"/>
          <w:szCs w:val="24"/>
        </w:rPr>
        <w:t>    </w:t>
      </w:r>
      <w:r>
        <w:rPr>
          <w:sz w:val="21"/>
        </w:rPr>
        <w:t>）</w:t>
      </w:r>
    </w:p>
    <w:p w14:paraId="4ABF2552">
      <w:pPr>
        <w:shd w:val="clear" w:color="auto" w:fill="auto"/>
        <w:spacing w:line="360" w:lineRule="auto"/>
        <w:jc w:val="both"/>
        <w:textAlignment w:val="center"/>
        <w:rPr>
          <w:sz w:val="21"/>
        </w:rPr>
      </w:pPr>
      <w:r>
        <w:rPr>
          <w:rFonts w:ascii="Times New Roman" w:hAnsi="Times New Roman" w:eastAsia="Times New Roman" w:cs="Times New Roman"/>
          <w:strike w:val="0"/>
          <w:kern w:val="0"/>
          <w:sz w:val="24"/>
          <w:szCs w:val="24"/>
          <w:u w:val="none"/>
        </w:rPr>
        <w:drawing>
          <wp:inline distT="0" distB="0" distL="114300" distR="114300">
            <wp:extent cx="2353310" cy="1372235"/>
            <wp:effectExtent l="0" t="0" r="8890" b="18415"/>
            <wp:docPr id="100009" name="图片 100009" descr="@@@de1f75a8-745b-49ba-a171-3893ef35ff5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de1f75a8-745b-49ba-a171-3893ef35ff5a"/>
                    <pic:cNvPicPr>
                      <a:picLocks noChangeAspect="1"/>
                    </pic:cNvPicPr>
                  </pic:nvPicPr>
                  <pic:blipFill>
                    <a:blip r:embed="rId8"/>
                    <a:stretch>
                      <a:fillRect/>
                    </a:stretch>
                  </pic:blipFill>
                  <pic:spPr>
                    <a:xfrm>
                      <a:off x="0" y="0"/>
                      <a:ext cx="2353310" cy="1372235"/>
                    </a:xfrm>
                    <a:prstGeom prst="rect">
                      <a:avLst/>
                    </a:prstGeom>
                  </pic:spPr>
                </pic:pic>
              </a:graphicData>
            </a:graphic>
          </wp:inline>
        </w:drawing>
      </w:r>
    </w:p>
    <w:p w14:paraId="3C1528FB">
      <w:pPr>
        <w:shd w:val="clear" w:color="auto" w:fill="auto"/>
        <w:spacing w:line="360" w:lineRule="auto"/>
        <w:ind w:left="380"/>
        <w:jc w:val="left"/>
        <w:textAlignment w:val="center"/>
        <w:rPr>
          <w:sz w:val="21"/>
        </w:rPr>
      </w:pPr>
      <w:r>
        <w:rPr>
          <w:sz w:val="21"/>
        </w:rPr>
        <w:t>A．退耕后，农田群落发生了次生演替</w:t>
      </w:r>
    </w:p>
    <w:p w14:paraId="711E201C">
      <w:pPr>
        <w:shd w:val="clear" w:color="auto" w:fill="auto"/>
        <w:spacing w:line="360" w:lineRule="auto"/>
        <w:ind w:left="380"/>
        <w:jc w:val="left"/>
        <w:textAlignment w:val="center"/>
        <w:rPr>
          <w:sz w:val="21"/>
        </w:rPr>
      </w:pPr>
      <w:r>
        <w:rPr>
          <w:sz w:val="21"/>
        </w:rPr>
        <w:t>B．草本植物最先恢复，这与土壤中的种子和外植体有关</w:t>
      </w:r>
    </w:p>
    <w:p w14:paraId="7AD5256B">
      <w:pPr>
        <w:shd w:val="clear" w:color="auto" w:fill="auto"/>
        <w:spacing w:line="360" w:lineRule="auto"/>
        <w:ind w:left="380"/>
        <w:jc w:val="left"/>
        <w:textAlignment w:val="center"/>
        <w:rPr>
          <w:sz w:val="21"/>
        </w:rPr>
      </w:pPr>
      <w:r>
        <w:rPr>
          <w:sz w:val="21"/>
        </w:rPr>
        <w:t>C．曲线③表示乔木植物的物种数随退耕还林年限的变化情况</w:t>
      </w:r>
    </w:p>
    <w:p w14:paraId="3BC799E8">
      <w:pPr>
        <w:shd w:val="clear" w:color="auto" w:fill="auto"/>
        <w:spacing w:line="360" w:lineRule="auto"/>
        <w:ind w:left="380"/>
        <w:jc w:val="left"/>
        <w:textAlignment w:val="center"/>
        <w:rPr>
          <w:sz w:val="21"/>
        </w:rPr>
      </w:pPr>
      <w:r>
        <w:rPr>
          <w:sz w:val="21"/>
        </w:rPr>
        <w:t>D．退耕还林后，鸟类的种群数量和物种丰富度均可能增加</w:t>
      </w:r>
    </w:p>
    <w:p w14:paraId="4265D8AB">
      <w:pPr>
        <w:shd w:val="clear" w:color="auto" w:fill="auto"/>
        <w:spacing w:line="360" w:lineRule="auto"/>
        <w:jc w:val="left"/>
        <w:textAlignment w:val="center"/>
        <w:rPr>
          <w:sz w:val="21"/>
        </w:rPr>
      </w:pPr>
      <w:r>
        <w:rPr>
          <w:sz w:val="21"/>
        </w:rPr>
        <w:t>12．演替的类型多种多样。如按演替发生的起始条件，生物群落的演替可分为初生演替和次生演替；按演替的方向，生物群落的演替可分为进展演替和逆行演替。进展演替是指随着演替的进行，生物群落的结构和种类成分由简单到复杂，而逆行演替的进程则与进展演替相反，它导致生物群落结构简单化。下列叙述错误的是（</w:t>
      </w:r>
      <w:r>
        <w:rPr>
          <w:rFonts w:ascii="Times New Roman" w:hAnsi="Times New Roman" w:eastAsia="Times New Roman" w:cs="Times New Roman"/>
          <w:kern w:val="0"/>
          <w:sz w:val="24"/>
          <w:szCs w:val="24"/>
        </w:rPr>
        <w:t>    </w:t>
      </w:r>
      <w:r>
        <w:rPr>
          <w:sz w:val="21"/>
        </w:rPr>
        <w:t>）</w:t>
      </w:r>
    </w:p>
    <w:p w14:paraId="70ABE4F6">
      <w:pPr>
        <w:shd w:val="clear" w:color="auto" w:fill="auto"/>
        <w:spacing w:line="360" w:lineRule="auto"/>
        <w:ind w:left="380"/>
        <w:jc w:val="left"/>
        <w:textAlignment w:val="center"/>
        <w:rPr>
          <w:sz w:val="21"/>
        </w:rPr>
      </w:pPr>
      <w:r>
        <w:rPr>
          <w:sz w:val="21"/>
        </w:rPr>
        <w:t>A．封山育林往往导致进展演替，过度放牧、滥砍滥伐森林常导致逆行演替</w:t>
      </w:r>
    </w:p>
    <w:p w14:paraId="7D5E5DFF">
      <w:pPr>
        <w:shd w:val="clear" w:color="auto" w:fill="auto"/>
        <w:spacing w:line="360" w:lineRule="auto"/>
        <w:ind w:left="380"/>
        <w:jc w:val="left"/>
        <w:textAlignment w:val="center"/>
        <w:rPr>
          <w:sz w:val="21"/>
        </w:rPr>
      </w:pPr>
      <w:r>
        <w:rPr>
          <w:sz w:val="21"/>
        </w:rPr>
        <w:t>B．进展演替状态下的物种多样性一定高于逆行演替状态下的物种多样性</w:t>
      </w:r>
    </w:p>
    <w:p w14:paraId="0E21316E">
      <w:pPr>
        <w:shd w:val="clear" w:color="auto" w:fill="auto"/>
        <w:spacing w:line="360" w:lineRule="auto"/>
        <w:ind w:left="380"/>
        <w:jc w:val="left"/>
        <w:textAlignment w:val="center"/>
        <w:rPr>
          <w:sz w:val="21"/>
        </w:rPr>
      </w:pPr>
      <w:r>
        <w:rPr>
          <w:sz w:val="21"/>
        </w:rPr>
        <w:t>C．逆行演替时，群落不能充分利用环境资源，生产力逐渐下降，对外界环境的改造减弱</w:t>
      </w:r>
    </w:p>
    <w:p w14:paraId="7CB10E01">
      <w:pPr>
        <w:shd w:val="clear" w:color="auto" w:fill="auto"/>
        <w:spacing w:line="360" w:lineRule="auto"/>
        <w:ind w:left="380"/>
        <w:jc w:val="left"/>
        <w:textAlignment w:val="center"/>
        <w:rPr>
          <w:rFonts w:ascii="黑体" w:hAnsi="黑体" w:eastAsia="黑体" w:cs="黑体"/>
          <w:b/>
          <w:i w:val="0"/>
          <w:color w:val="000000"/>
          <w:sz w:val="30"/>
        </w:rPr>
      </w:pPr>
      <w:r>
        <w:rPr>
          <w:sz w:val="21"/>
        </w:rPr>
        <w:t>D．群落演替的结果由环境和群落内的生物共同作用而决定，人类活动对群落演替的影响不会超过其他因素的影响</w:t>
      </w:r>
    </w:p>
    <w:p w14:paraId="055D5D73">
      <w:pPr>
        <w:jc w:val="left"/>
        <w:textAlignment w:val="center"/>
        <w:rPr>
          <w:rFonts w:ascii="宋体" w:hAnsi="宋体" w:eastAsia="宋体" w:cs="宋体"/>
          <w:b/>
          <w:i w:val="0"/>
          <w:color w:val="000000"/>
          <w:sz w:val="21"/>
        </w:rPr>
      </w:pPr>
      <w:r>
        <w:rPr>
          <w:rFonts w:ascii="宋体" w:hAnsi="宋体" w:eastAsia="宋体" w:cs="宋体"/>
          <w:b/>
          <w:i w:val="0"/>
          <w:color w:val="000000"/>
          <w:sz w:val="21"/>
        </w:rPr>
        <w:t>三、非选择题</w:t>
      </w:r>
    </w:p>
    <w:p w14:paraId="1FC97787">
      <w:pPr>
        <w:shd w:val="clear" w:color="auto" w:fill="auto"/>
        <w:spacing w:line="360" w:lineRule="auto"/>
        <w:jc w:val="left"/>
        <w:textAlignment w:val="center"/>
        <w:rPr>
          <w:sz w:val="21"/>
        </w:rPr>
      </w:pPr>
      <w:r>
        <w:rPr>
          <w:sz w:val="21"/>
        </w:rPr>
        <w:t>13．科研人员对某地群落的自然演替过程进行了数年追踪研究，结果如图1所示，其中A~I表示群落逐渐发展到稳定时的不同阶段。图2是研究过程中构建的捕食者一猎物模型。请据图回答下列问题：</w:t>
      </w:r>
    </w:p>
    <w:p w14:paraId="3BADC7BA">
      <w:pPr>
        <w:shd w:val="clear" w:color="auto" w:fill="auto"/>
        <w:spacing w:line="360" w:lineRule="auto"/>
        <w:jc w:val="left"/>
        <w:textAlignment w:val="center"/>
        <w:rPr>
          <w:sz w:val="21"/>
        </w:rPr>
      </w:pPr>
      <w:r>
        <w:rPr>
          <w:rFonts w:ascii="Times New Roman" w:hAnsi="Times New Roman" w:eastAsia="Times New Roman" w:cs="Times New Roman"/>
          <w:strike w:val="0"/>
          <w:kern w:val="0"/>
          <w:sz w:val="24"/>
          <w:szCs w:val="24"/>
          <w:u w:val="none"/>
        </w:rPr>
        <w:drawing>
          <wp:inline distT="0" distB="0" distL="114300" distR="114300">
            <wp:extent cx="1991360" cy="1413510"/>
            <wp:effectExtent l="0" t="0" r="8890" b="15240"/>
            <wp:docPr id="100011" name="图片 100011" descr="@@@a1ec1877-2f8f-4dfd-8a2a-98a8c509e4f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a1ec1877-2f8f-4dfd-8a2a-98a8c509e4f7"/>
                    <pic:cNvPicPr>
                      <a:picLocks noChangeAspect="1"/>
                    </pic:cNvPicPr>
                  </pic:nvPicPr>
                  <pic:blipFill>
                    <a:blip r:embed="rId9"/>
                    <a:stretch>
                      <a:fillRect/>
                    </a:stretch>
                  </pic:blipFill>
                  <pic:spPr>
                    <a:xfrm>
                      <a:off x="0" y="0"/>
                      <a:ext cx="1991360" cy="1413510"/>
                    </a:xfrm>
                    <a:prstGeom prst="rect">
                      <a:avLst/>
                    </a:prstGeom>
                  </pic:spPr>
                </pic:pic>
              </a:graphicData>
            </a:graphic>
          </wp:inline>
        </w:drawing>
      </w:r>
      <w:r>
        <w:rPr>
          <w:rFonts w:ascii="Times New Roman" w:hAnsi="Times New Roman" w:eastAsia="Times New Roman" w:cs="Times New Roman"/>
          <w:strike w:val="0"/>
          <w:kern w:val="0"/>
          <w:sz w:val="24"/>
          <w:szCs w:val="24"/>
          <w:u w:val="none"/>
        </w:rPr>
        <w:drawing>
          <wp:inline distT="0" distB="0" distL="114300" distR="114300">
            <wp:extent cx="2448560" cy="1733550"/>
            <wp:effectExtent l="0" t="0" r="8890" b="0"/>
            <wp:docPr id="100013" name="图片 100013" descr="@@@e2ace784-4f9e-43be-ab54-131e31f50cc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e2ace784-4f9e-43be-ab54-131e31f50ccd"/>
                    <pic:cNvPicPr>
                      <a:picLocks noChangeAspect="1"/>
                    </pic:cNvPicPr>
                  </pic:nvPicPr>
                  <pic:blipFill>
                    <a:blip r:embed="rId10"/>
                    <a:stretch>
                      <a:fillRect/>
                    </a:stretch>
                  </pic:blipFill>
                  <pic:spPr>
                    <a:xfrm>
                      <a:off x="0" y="0"/>
                      <a:ext cx="2448560" cy="1733550"/>
                    </a:xfrm>
                    <a:prstGeom prst="rect">
                      <a:avLst/>
                    </a:prstGeom>
                  </pic:spPr>
                </pic:pic>
              </a:graphicData>
            </a:graphic>
          </wp:inline>
        </w:drawing>
      </w:r>
    </w:p>
    <w:p w14:paraId="5C837EF0">
      <w:pPr>
        <w:shd w:val="clear" w:color="auto" w:fill="auto"/>
        <w:spacing w:line="360" w:lineRule="auto"/>
        <w:jc w:val="left"/>
        <w:textAlignment w:val="center"/>
        <w:rPr>
          <w:sz w:val="21"/>
        </w:rPr>
      </w:pPr>
      <w:r>
        <w:rPr>
          <w:sz w:val="21"/>
        </w:rPr>
        <w:t>(1)图1中信息能体现出的群落结构是</w:t>
      </w:r>
      <w:r>
        <w:rPr>
          <w:rFonts w:ascii="Times New Roman" w:hAnsi="Times New Roman" w:eastAsia="Times New Roman" w:cs="Times New Roman"/>
          <w:b w:val="0"/>
          <w:sz w:val="21"/>
          <w:u w:val="single"/>
        </w:rPr>
        <w:t xml:space="preserve">           </w:t>
      </w:r>
      <w:r>
        <w:rPr>
          <w:sz w:val="21"/>
        </w:rPr>
        <w:t>。科研人员在对植物的丰富度进行调查时，需要统计各层植物的</w:t>
      </w:r>
      <w:r>
        <w:rPr>
          <w:rFonts w:ascii="Times New Roman" w:hAnsi="Times New Roman" w:eastAsia="Times New Roman" w:cs="Times New Roman"/>
          <w:b w:val="0"/>
          <w:sz w:val="21"/>
          <w:u w:val="single"/>
        </w:rPr>
        <w:t xml:space="preserve">           </w:t>
      </w:r>
      <w:r>
        <w:rPr>
          <w:sz w:val="21"/>
        </w:rPr>
        <w:t>。</w:t>
      </w:r>
    </w:p>
    <w:p w14:paraId="1C016426">
      <w:pPr>
        <w:shd w:val="clear" w:color="auto" w:fill="auto"/>
        <w:spacing w:line="360" w:lineRule="auto"/>
        <w:jc w:val="left"/>
        <w:textAlignment w:val="center"/>
        <w:rPr>
          <w:sz w:val="21"/>
        </w:rPr>
      </w:pPr>
      <w:r>
        <w:rPr>
          <w:sz w:val="21"/>
        </w:rPr>
        <w:t>(2)图1中A~I阶段的演替过程属于</w:t>
      </w:r>
      <w:r>
        <w:rPr>
          <w:rFonts w:ascii="Times New Roman" w:hAnsi="Times New Roman" w:eastAsia="Times New Roman" w:cs="Times New Roman"/>
          <w:b w:val="0"/>
          <w:sz w:val="21"/>
          <w:u w:val="single"/>
        </w:rPr>
        <w:t xml:space="preserve">           </w:t>
      </w:r>
      <w:r>
        <w:rPr>
          <w:sz w:val="21"/>
        </w:rPr>
        <w:t>。C~E阶段，物种丰富度逐渐增加，群落结构逐渐</w:t>
      </w:r>
      <w:r>
        <w:rPr>
          <w:rFonts w:ascii="Times New Roman" w:hAnsi="Times New Roman" w:eastAsia="Times New Roman" w:cs="Times New Roman"/>
          <w:b w:val="0"/>
          <w:sz w:val="21"/>
          <w:u w:val="single"/>
        </w:rPr>
        <w:t xml:space="preserve">           </w:t>
      </w:r>
      <w:r>
        <w:rPr>
          <w:sz w:val="21"/>
        </w:rPr>
        <w:t>（填“复杂”或“简单”）。</w:t>
      </w:r>
    </w:p>
    <w:p w14:paraId="1E3FEB5F">
      <w:pPr>
        <w:shd w:val="clear" w:color="auto" w:fill="auto"/>
        <w:spacing w:line="360" w:lineRule="auto"/>
        <w:jc w:val="left"/>
        <w:textAlignment w:val="center"/>
        <w:rPr>
          <w:rFonts w:hint="default"/>
          <w:sz w:val="21"/>
          <w:lang w:val="en-US" w:eastAsia="zh-CN"/>
        </w:rPr>
      </w:pPr>
      <w:r>
        <w:rPr>
          <w:sz w:val="21"/>
        </w:rPr>
        <w:t>(3)图2中最可能代表捕食者种群K值的数据为</w:t>
      </w:r>
      <w:r>
        <w:rPr>
          <w:rFonts w:ascii="Times New Roman" w:hAnsi="Times New Roman" w:eastAsia="Times New Roman" w:cs="Times New Roman"/>
          <w:b w:val="0"/>
          <w:sz w:val="21"/>
          <w:u w:val="single"/>
        </w:rPr>
        <w:t xml:space="preserve">           </w:t>
      </w:r>
      <w:r>
        <w:rPr>
          <w:sz w:val="21"/>
        </w:rPr>
        <w:t>。猎物种群数量为</w:t>
      </w:r>
      <w:r>
        <w:rPr>
          <w:rFonts w:ascii="Times New Roman" w:hAnsi="Times New Roman" w:eastAsia="Times New Roman" w:cs="Times New Roman"/>
          <w:b w:val="0"/>
          <w:sz w:val="21"/>
          <w:u w:val="single"/>
        </w:rPr>
        <w:t xml:space="preserve">           </w:t>
      </w:r>
      <w:r>
        <w:rPr>
          <w:sz w:val="21"/>
        </w:rPr>
        <w:t>时，其种群的增长速率最大。</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ambria Math">
    <w:panose1 w:val="02040503050406030204"/>
    <w:charset w:val="00"/>
    <w:family w:val="auto"/>
    <w:pitch w:val="default"/>
    <w:sig w:usb0="E00006FF" w:usb1="420024FF" w:usb2="02000000"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25332A">
    <w:pPr>
      <w:pStyle w:val="4"/>
      <w:rPr>
        <w:rFonts w:hint="default" w:eastAsiaTheme="minorEastAsia"/>
        <w:sz w:val="18"/>
        <w:szCs w:val="18"/>
        <w:lang w:val="en-US" w:eastAsia="zh-CN"/>
      </w:rPr>
    </w:pPr>
    <w:r>
      <w:rPr>
        <w:rFonts w:hint="eastAsia"/>
        <w:sz w:val="18"/>
        <w:szCs w:val="18"/>
        <w:lang w:val="en-US" w:eastAsia="zh-CN"/>
      </w:rPr>
      <w:t>横峰中学学生寒假作业（生物） 编号：hfzx （11） 使用时间:2025.2.7   编写人：邱建国 审核人：余敏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56D1999"/>
    <w:multiLevelType w:val="singleLevel"/>
    <w:tmpl w:val="256D1999"/>
    <w:lvl w:ilvl="0" w:tentative="0">
      <w:start w:val="1"/>
      <w:numFmt w:val="chineseCounting"/>
      <w:suff w:val="nothing"/>
      <w:lvlText w:val="%1、"/>
      <w:lvlJc w:val="left"/>
      <w:rPr>
        <w:rFonts w:hint="eastAsia"/>
      </w:rPr>
    </w:lvl>
  </w:abstractNum>
  <w:abstractNum w:abstractNumId="1">
    <w:nsid w:val="25DCF469"/>
    <w:multiLevelType w:val="singleLevel"/>
    <w:tmpl w:val="25DCF469"/>
    <w:lvl w:ilvl="0" w:tentative="0">
      <w:start w:val="1"/>
      <w:numFmt w:val="lowerLetter"/>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M2NjZkMTcxMWEzZTUyNGViODk4YWM4MjViZWQ1Y2UifQ=="/>
  </w:docVars>
  <w:rsids>
    <w:rsidRoot w:val="00000000"/>
    <w:rsid w:val="0C2062B0"/>
    <w:rsid w:val="0FE25DDC"/>
    <w:rsid w:val="10C332AC"/>
    <w:rsid w:val="16806091"/>
    <w:rsid w:val="18EA07E2"/>
    <w:rsid w:val="1D8C721E"/>
    <w:rsid w:val="1FDE2A95"/>
    <w:rsid w:val="238C4FCD"/>
    <w:rsid w:val="2AB72F73"/>
    <w:rsid w:val="38F4304F"/>
    <w:rsid w:val="42984EF4"/>
    <w:rsid w:val="48800B87"/>
    <w:rsid w:val="4B7A5635"/>
    <w:rsid w:val="4DC90020"/>
    <w:rsid w:val="4E8956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qFormat/>
    <w:uiPriority w:val="0"/>
    <w:pPr>
      <w:adjustRightInd/>
      <w:spacing w:line="240" w:lineRule="auto"/>
      <w:ind w:firstLine="420" w:firstLineChars="200"/>
      <w:textAlignment w:val="auto"/>
    </w:pPr>
    <w:rPr>
      <w:rFonts w:ascii="Calibri" w:hAnsi="Calibri"/>
      <w:kern w:val="2"/>
      <w:szCs w:val="22"/>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519</Words>
  <Characters>527</Characters>
  <Lines>0</Lines>
  <Paragraphs>0</Paragraphs>
  <TotalTime>0</TotalTime>
  <ScaleCrop>false</ScaleCrop>
  <LinksUpToDate>false</LinksUpToDate>
  <CharactersWithSpaces>625</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2024-10-29T00:39:00Z</dcterms:created>
  <dc:creator>LXF</dc:creator>
  <cp:lastModifiedBy>W.S</cp:lastModifiedBy>
  <dcterms:modified xsi:type="dcterms:W3CDTF">2025-01-14T01:19:55Z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E7E25D16D9C44536B1DEB3AFCB77323F_13</vt:lpwstr>
  </property>
  <property fmtid="{D5CDD505-2E9C-101B-9397-08002B2CF9AE}" pid="4" name="KSOTemplateDocerSaveRecord">
    <vt:lpwstr>eyJoZGlkIjoiY2VhNmFlOGJmNjI4ZDZlNjQ5ZDE1OWVmMzU0N2E0YzIiLCJ1c2VySWQiOiI5ODI4MDM2NDAifQ==</vt:lpwstr>
  </property>
</Properties>
</file>