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80" w:firstLineChars="400"/>
        <w:rPr>
          <w:sz w:val="32"/>
          <w:szCs w:val="32"/>
        </w:rPr>
      </w:pPr>
      <w:r>
        <w:rPr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12687300</wp:posOffset>
            </wp:positionH>
            <wp:positionV relativeFrom="topMargin">
              <wp:posOffset>10515600</wp:posOffset>
            </wp:positionV>
            <wp:extent cx="317500" cy="279400"/>
            <wp:effectExtent l="0" t="0" r="0" b="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>《</w:t>
      </w:r>
      <w:r>
        <w:rPr>
          <w:rFonts w:hint="eastAsia"/>
          <w:sz w:val="32"/>
          <w:szCs w:val="32"/>
        </w:rPr>
        <w:t>采用合理的论证方法</w:t>
      </w:r>
      <w:r>
        <w:rPr>
          <w:sz w:val="32"/>
          <w:szCs w:val="32"/>
        </w:rPr>
        <w:t>》</w:t>
      </w:r>
      <w:r>
        <w:rPr>
          <w:rFonts w:hint="eastAsia"/>
          <w:sz w:val="32"/>
          <w:szCs w:val="32"/>
        </w:rPr>
        <w:t>第二课时</w:t>
      </w:r>
      <w:r>
        <w:rPr>
          <w:sz w:val="32"/>
          <w:szCs w:val="32"/>
        </w:rPr>
        <w:t>导</w:t>
      </w:r>
      <w:r>
        <w:rPr>
          <w:rFonts w:hint="eastAsia"/>
          <w:sz w:val="32"/>
          <w:szCs w:val="32"/>
        </w:rPr>
        <w:t>训</w:t>
      </w:r>
      <w:r>
        <w:rPr>
          <w:sz w:val="32"/>
          <w:szCs w:val="32"/>
        </w:rPr>
        <w:t>学案</w:t>
      </w:r>
    </w:p>
    <w:p>
      <w:pPr>
        <w:ind w:firstLine="210" w:firstLineChars="100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 xml:space="preserve">班级__________ 姓名__________  小组__________ </w:t>
      </w:r>
    </w:p>
    <w:p>
      <w:pPr>
        <w:numPr>
          <w:ilvl w:val="0"/>
          <w:numId w:val="1"/>
        </w:numPr>
        <w:ind w:firstLine="210" w:firstLineChars="100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学习目标</w:t>
      </w:r>
    </w:p>
    <w:p>
      <w:pPr>
        <w:pStyle w:val="5"/>
        <w:spacing w:before="0" w:beforeAutospacing="0" w:after="0" w:afterAutospacing="0" w:line="408" w:lineRule="auto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1、</w:t>
      </w:r>
      <w:r>
        <w:rPr>
          <w:rFonts w:hint="eastAsia" w:ascii="仿宋_GB2312" w:hAnsi="仿宋_GB2312" w:eastAsia="仿宋_GB2312" w:cs="仿宋_GB2312"/>
          <w:bCs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了解直接论证和间接论证的特征。</w:t>
      </w:r>
    </w:p>
    <w:p>
      <w:pPr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2、</w:t>
      </w:r>
      <w:r>
        <w:rPr>
          <w:rFonts w:hint="eastAsia" w:ascii="仿宋_GB2312" w:hAnsi="仿宋_GB2312" w:eastAsia="仿宋_GB2312" w:cs="仿宋_GB2312"/>
          <w:bCs/>
          <w:sz w:val="21"/>
          <w:szCs w:val="21"/>
        </w:rPr>
        <w:t>学会常用的论证方法及其特点。</w:t>
      </w:r>
    </w:p>
    <w:p>
      <w:pPr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3、</w:t>
      </w:r>
      <w:r>
        <w:rPr>
          <w:rFonts w:hint="eastAsia" w:ascii="仿宋_GB2312" w:hAnsi="仿宋_GB2312" w:eastAsia="仿宋_GB2312" w:cs="仿宋_GB2312"/>
          <w:bCs/>
          <w:sz w:val="21"/>
          <w:szCs w:val="21"/>
        </w:rPr>
        <w:t>关注高考该知识点常见的设题类型。</w:t>
      </w:r>
    </w:p>
    <w:p>
      <w:pPr>
        <w:numPr>
          <w:ilvl w:val="0"/>
          <w:numId w:val="1"/>
        </w:numPr>
        <w:ind w:firstLine="210" w:firstLineChars="100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重点、难点</w:t>
      </w:r>
    </w:p>
    <w:p>
      <w:pPr>
        <w:rPr>
          <w:rFonts w:hint="eastAsia" w:ascii="仿宋_GB2312" w:hAnsi="仿宋_GB2312" w:eastAsia="仿宋_GB2312" w:cs="仿宋_GB2312"/>
          <w:bCs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1、</w:t>
      </w:r>
      <w:r>
        <w:rPr>
          <w:rFonts w:hint="eastAsia" w:ascii="仿宋_GB2312" w:hAnsi="仿宋_GB2312" w:eastAsia="仿宋_GB2312" w:cs="仿宋_GB2312"/>
          <w:bCs/>
          <w:sz w:val="21"/>
          <w:szCs w:val="21"/>
        </w:rPr>
        <w:t>学会在文章中合理运用各种论证方法，并能写简单的议论文（驳论文）</w:t>
      </w:r>
    </w:p>
    <w:p>
      <w:pPr>
        <w:numPr>
          <w:ilvl w:val="0"/>
          <w:numId w:val="1"/>
        </w:numPr>
        <w:ind w:firstLine="210" w:firstLineChars="100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导学流程</w:t>
      </w:r>
    </w:p>
    <w:p>
      <w:pPr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bCs/>
          <w:sz w:val="21"/>
          <w:szCs w:val="21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sz w:val="21"/>
          <w:szCs w:val="21"/>
        </w:rPr>
        <w:t>一</w:t>
      </w:r>
      <w:r>
        <w:rPr>
          <w:rFonts w:hint="eastAsia" w:ascii="仿宋_GB2312" w:hAnsi="仿宋_GB2312" w:eastAsia="仿宋_GB2312" w:cs="仿宋_GB2312"/>
          <w:bCs/>
          <w:sz w:val="21"/>
          <w:szCs w:val="21"/>
          <w:lang w:eastAsia="zh-CN"/>
        </w:rPr>
        <w:t>）</w:t>
      </w:r>
      <w:r>
        <w:rPr>
          <w:rFonts w:hint="eastAsia" w:ascii="仿宋_GB2312" w:hAnsi="仿宋_GB2312" w:eastAsia="仿宋_GB2312" w:cs="仿宋_GB2312"/>
          <w:bCs/>
          <w:sz w:val="21"/>
          <w:szCs w:val="21"/>
        </w:rPr>
        <w:t>、驳论的形式</w:t>
      </w:r>
    </w:p>
    <w:p>
      <w:pPr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bCs/>
          <w:sz w:val="21"/>
          <w:szCs w:val="21"/>
        </w:rPr>
        <w:t>1.驳论点：直接驳斥对方的论点。</w:t>
      </w:r>
    </w:p>
    <w:p>
      <w:pPr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bCs/>
          <w:sz w:val="21"/>
          <w:szCs w:val="21"/>
        </w:rPr>
        <w:t>2.驳论据：通过批驳对方的论据来驳倒对方的论点。</w:t>
      </w:r>
    </w:p>
    <w:p>
      <w:pPr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bCs/>
          <w:sz w:val="21"/>
          <w:szCs w:val="21"/>
        </w:rPr>
        <w:t>3.驳论证：通过批驳对方的论证过程的谬误来驳倒对方的论点。</w:t>
      </w:r>
    </w:p>
    <w:p>
      <w:pPr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bCs/>
          <w:sz w:val="21"/>
          <w:szCs w:val="21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sz w:val="21"/>
          <w:szCs w:val="21"/>
        </w:rPr>
        <w:t>二</w:t>
      </w:r>
      <w:r>
        <w:rPr>
          <w:rFonts w:hint="eastAsia" w:ascii="仿宋_GB2312" w:hAnsi="仿宋_GB2312" w:eastAsia="仿宋_GB2312" w:cs="仿宋_GB2312"/>
          <w:bCs/>
          <w:sz w:val="21"/>
          <w:szCs w:val="21"/>
          <w:lang w:eastAsia="zh-CN"/>
        </w:rPr>
        <w:t>）</w:t>
      </w:r>
      <w:r>
        <w:rPr>
          <w:rFonts w:hint="eastAsia" w:ascii="仿宋_GB2312" w:hAnsi="仿宋_GB2312" w:eastAsia="仿宋_GB2312" w:cs="仿宋_GB2312"/>
          <w:bCs/>
          <w:sz w:val="21"/>
          <w:szCs w:val="21"/>
        </w:rPr>
        <w:t>、驳论的要点</w:t>
      </w:r>
    </w:p>
    <w:p>
      <w:pPr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bCs/>
          <w:sz w:val="21"/>
          <w:szCs w:val="21"/>
        </w:rPr>
        <w:t>（1）要对准靶子。写驳论文，首先要摆出对方错误的观点，竖起靶子。怎样竖起靶子呢?通常有两种方式。一是概述，即用概括性的语言，将所批驳的敌论复述一遍，并且还要强调敌论的弊端。二是摘引，即把反面材料的关键部分或有关部分摘录下来，然后对准靶子，进行驳斥。</w:t>
      </w:r>
    </w:p>
    <w:p>
      <w:pPr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bCs/>
          <w:sz w:val="21"/>
          <w:szCs w:val="21"/>
        </w:rPr>
        <w:t>（2）要抓住要害。鲁迅说:“正对‘论敌’之要害，仅以一击给予致命的重伤。”对谬论，一定要抓住其错误的本质，深入地进行揭露和批判。</w:t>
      </w:r>
    </w:p>
    <w:p>
      <w:pPr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bCs/>
          <w:sz w:val="21"/>
          <w:szCs w:val="21"/>
        </w:rPr>
        <w:t>（3）要注意分寸。对敌人的反革命谬论和人民内部存在的“团结-批评-团结”的原则，决不可相提并论。</w:t>
      </w:r>
    </w:p>
    <w:p>
      <w:pPr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bCs/>
          <w:sz w:val="21"/>
          <w:szCs w:val="21"/>
        </w:rPr>
        <w:t>（4）要有破有立。驳斥错误的观点同时，要树立正确的观点。</w:t>
      </w:r>
    </w:p>
    <w:p>
      <w:pPr>
        <w:jc w:val="left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lang w:eastAsia="zh-CN"/>
        </w:rPr>
        <w:t>（三）当堂</w:t>
      </w:r>
      <w:r>
        <w:rPr>
          <w:rFonts w:hint="eastAsia" w:ascii="仿宋_GB2312" w:hAnsi="仿宋_GB2312" w:eastAsia="仿宋_GB2312" w:cs="仿宋_GB2312"/>
          <w:sz w:val="21"/>
          <w:szCs w:val="21"/>
        </w:rPr>
        <w:t>检测：</w:t>
      </w:r>
    </w:p>
    <w:p>
      <w:pPr>
        <w:jc w:val="left"/>
        <w:rPr>
          <w:rFonts w:hint="eastAsia" w:ascii="仿宋_GB2312" w:hAnsi="仿宋_GB2312" w:eastAsia="仿宋_GB2312" w:cs="仿宋_GB2312"/>
          <w:bCs/>
          <w:sz w:val="21"/>
          <w:szCs w:val="21"/>
        </w:rPr>
      </w:pPr>
      <w:r>
        <w:rPr>
          <w:rFonts w:hint="eastAsia" w:ascii="仿宋_GB2312" w:hAnsi="仿宋_GB2312" w:eastAsia="仿宋_GB2312" w:cs="仿宋_GB2312"/>
          <w:bCs/>
          <w:sz w:val="21"/>
          <w:szCs w:val="21"/>
        </w:rPr>
        <w:t>1. 驳论点</w:t>
      </w:r>
    </w:p>
    <w:p>
      <w:pPr>
        <w:ind w:firstLine="210" w:firstLineChars="100"/>
        <w:jc w:val="left"/>
        <w:rPr>
          <w:rFonts w:hint="eastAsia" w:ascii="仿宋_GB2312" w:hAnsi="仿宋_GB2312" w:eastAsia="仿宋_GB2312" w:cs="仿宋_GB2312"/>
          <w:bCs/>
          <w:sz w:val="21"/>
          <w:szCs w:val="21"/>
        </w:rPr>
      </w:pPr>
      <w:r>
        <w:rPr>
          <w:rFonts w:hint="eastAsia" w:ascii="仿宋_GB2312" w:hAnsi="仿宋_GB2312" w:eastAsia="仿宋_GB2312" w:cs="仿宋_GB2312"/>
          <w:bCs/>
          <w:sz w:val="21"/>
          <w:szCs w:val="21"/>
        </w:rPr>
        <w:t>小明：你知道吗？科学证明腿越少的动物就越聪明！</w:t>
      </w:r>
    </w:p>
    <w:p>
      <w:pPr>
        <w:jc w:val="left"/>
        <w:rPr>
          <w:rFonts w:hint="eastAsia" w:ascii="仿宋_GB2312" w:hAnsi="仿宋_GB2312" w:eastAsia="仿宋_GB2312" w:cs="仿宋_GB2312"/>
          <w:bCs/>
          <w:sz w:val="21"/>
          <w:szCs w:val="21"/>
        </w:rPr>
      </w:pPr>
      <w:r>
        <w:rPr>
          <w:rFonts w:hint="eastAsia" w:ascii="仿宋_GB2312" w:hAnsi="仿宋_GB2312" w:eastAsia="仿宋_GB2312" w:cs="仿宋_GB2312"/>
          <w:bCs/>
          <w:sz w:val="21"/>
          <w:szCs w:val="21"/>
        </w:rPr>
        <w:t xml:space="preserve">    我：怎么说？</w:t>
      </w:r>
    </w:p>
    <w:p>
      <w:pPr>
        <w:jc w:val="left"/>
        <w:rPr>
          <w:rFonts w:hint="eastAsia" w:ascii="仿宋_GB2312" w:hAnsi="仿宋_GB2312" w:eastAsia="仿宋_GB2312" w:cs="仿宋_GB2312"/>
          <w:bCs/>
          <w:sz w:val="21"/>
          <w:szCs w:val="21"/>
        </w:rPr>
      </w:pPr>
      <w:r>
        <w:rPr>
          <w:rFonts w:hint="eastAsia" w:ascii="仿宋_GB2312" w:hAnsi="仿宋_GB2312" w:eastAsia="仿宋_GB2312" w:cs="仿宋_GB2312"/>
          <w:bCs/>
          <w:sz w:val="21"/>
          <w:szCs w:val="21"/>
        </w:rPr>
        <w:t xml:space="preserve">    小明：比如，人就比猫啊狗啊要聪明，猫啊狗啊就比蜘蛛蜈蚣等等要聪明！</w:t>
      </w:r>
    </w:p>
    <w:p>
      <w:pPr>
        <w:ind w:firstLine="435"/>
        <w:jc w:val="left"/>
        <w:rPr>
          <w:rFonts w:hint="eastAsia" w:ascii="仿宋_GB2312" w:hAnsi="仿宋_GB2312" w:eastAsia="仿宋_GB2312" w:cs="仿宋_GB2312"/>
          <w:bCs/>
          <w:sz w:val="21"/>
          <w:szCs w:val="21"/>
        </w:rPr>
      </w:pPr>
      <w:r>
        <w:rPr>
          <w:rFonts w:hint="eastAsia" w:ascii="仿宋_GB2312" w:hAnsi="仿宋_GB2312" w:eastAsia="仿宋_GB2312" w:cs="仿宋_GB2312"/>
          <w:bCs/>
          <w:sz w:val="21"/>
          <w:szCs w:val="21"/>
        </w:rPr>
        <w:t>我：</w:t>
      </w:r>
    </w:p>
    <w:p>
      <w:pPr>
        <w:ind w:firstLine="435"/>
        <w:jc w:val="left"/>
        <w:rPr>
          <w:rFonts w:hint="eastAsia" w:ascii="仿宋_GB2312" w:hAnsi="仿宋_GB2312" w:eastAsia="仿宋_GB2312" w:cs="仿宋_GB2312"/>
          <w:bCs/>
          <w:sz w:val="21"/>
          <w:szCs w:val="21"/>
        </w:rPr>
      </w:pPr>
      <w:r>
        <w:rPr>
          <w:rFonts w:hint="eastAsia" w:ascii="仿宋_GB2312" w:hAnsi="仿宋_GB2312" w:eastAsia="仿宋_GB2312" w:cs="仿宋_GB2312"/>
          <w:bCs/>
          <w:sz w:val="21"/>
          <w:szCs w:val="21"/>
        </w:rPr>
        <w:t xml:space="preserve">  ----------------------------------------</w:t>
      </w:r>
    </w:p>
    <w:p>
      <w:pPr>
        <w:jc w:val="left"/>
        <w:rPr>
          <w:rFonts w:hint="eastAsia" w:ascii="仿宋_GB2312" w:hAnsi="仿宋_GB2312" w:eastAsia="仿宋_GB2312" w:cs="仿宋_GB2312"/>
          <w:bCs/>
          <w:sz w:val="21"/>
          <w:szCs w:val="21"/>
        </w:rPr>
      </w:pPr>
      <w:r>
        <w:rPr>
          <w:rFonts w:hint="eastAsia" w:ascii="仿宋_GB2312" w:hAnsi="仿宋_GB2312" w:eastAsia="仿宋_GB2312" w:cs="仿宋_GB2312"/>
          <w:bCs/>
          <w:sz w:val="21"/>
          <w:szCs w:val="21"/>
        </w:rPr>
        <w:t>2.牛刀小试--试反驳下列观点</w:t>
      </w:r>
    </w:p>
    <w:p>
      <w:pPr>
        <w:ind w:firstLine="420" w:firstLineChars="200"/>
        <w:jc w:val="left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1、俗话说:一个好汉三个帮。</w:t>
      </w:r>
    </w:p>
    <w:p>
      <w:pPr>
        <w:ind w:firstLine="420" w:firstLineChars="200"/>
        <w:jc w:val="left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可俗话又说:</w:t>
      </w:r>
    </w:p>
    <w:p>
      <w:pPr>
        <w:ind w:firstLine="1470" w:firstLineChars="700"/>
        <w:jc w:val="left"/>
        <w:rPr>
          <w:rFonts w:hint="eastAsia" w:ascii="仿宋_GB2312" w:hAnsi="仿宋_GB2312" w:eastAsia="仿宋_GB2312" w:cs="仿宋_GB2312"/>
          <w:bCs/>
          <w:sz w:val="21"/>
          <w:szCs w:val="21"/>
        </w:rPr>
      </w:pPr>
      <w:r>
        <w:rPr>
          <w:rFonts w:hint="eastAsia" w:ascii="仿宋_GB2312" w:hAnsi="仿宋_GB2312" w:eastAsia="仿宋_GB2312" w:cs="仿宋_GB2312"/>
          <w:bCs/>
          <w:sz w:val="21"/>
          <w:szCs w:val="21"/>
        </w:rPr>
        <w:t>----------------------------------------</w:t>
      </w:r>
    </w:p>
    <w:p>
      <w:pPr>
        <w:ind w:firstLine="420" w:firstLineChars="200"/>
        <w:jc w:val="left"/>
        <w:rPr>
          <w:rFonts w:hint="eastAsia" w:ascii="仿宋_GB2312" w:hAnsi="仿宋_GB2312" w:eastAsia="仿宋_GB2312" w:cs="仿宋_GB2312"/>
          <w:sz w:val="21"/>
          <w:szCs w:val="21"/>
        </w:rPr>
      </w:pPr>
    </w:p>
    <w:p>
      <w:pPr>
        <w:ind w:firstLine="420" w:firstLineChars="200"/>
        <w:jc w:val="left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2、俗话说:人不犯我,我不犯人</w:t>
      </w:r>
    </w:p>
    <w:p>
      <w:pPr>
        <w:ind w:firstLine="315" w:firstLineChars="150"/>
        <w:jc w:val="left"/>
        <w:rPr>
          <w:rFonts w:hint="eastAsia" w:ascii="仿宋_GB2312" w:hAnsi="仿宋_GB2312" w:eastAsia="仿宋_GB2312" w:cs="仿宋_GB2312"/>
          <w:bCs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可俗话又说:</w:t>
      </w:r>
    </w:p>
    <w:p>
      <w:pPr>
        <w:ind w:firstLine="1470" w:firstLineChars="700"/>
        <w:jc w:val="left"/>
        <w:rPr>
          <w:rFonts w:hint="eastAsia" w:ascii="仿宋_GB2312" w:hAnsi="仿宋_GB2312" w:eastAsia="仿宋_GB2312" w:cs="仿宋_GB2312"/>
          <w:bCs/>
          <w:sz w:val="21"/>
          <w:szCs w:val="21"/>
        </w:rPr>
      </w:pPr>
      <w:r>
        <w:rPr>
          <w:rFonts w:hint="eastAsia" w:ascii="仿宋_GB2312" w:hAnsi="仿宋_GB2312" w:eastAsia="仿宋_GB2312" w:cs="仿宋_GB2312"/>
          <w:bCs/>
          <w:sz w:val="21"/>
          <w:szCs w:val="21"/>
        </w:rPr>
        <w:t>---------------------------------------</w:t>
      </w:r>
    </w:p>
    <w:p>
      <w:pPr>
        <w:ind w:firstLine="420" w:firstLineChars="200"/>
        <w:jc w:val="left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3、俗话说:兔子不吃窝边草</w:t>
      </w:r>
    </w:p>
    <w:p>
      <w:pPr>
        <w:ind w:firstLine="420" w:firstLineChars="200"/>
        <w:jc w:val="left"/>
        <w:rPr>
          <w:rFonts w:hint="eastAsia" w:ascii="仿宋_GB2312" w:hAnsi="仿宋_GB2312" w:eastAsia="仿宋_GB2312" w:cs="仿宋_GB2312"/>
          <w:bCs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可俗话又说:</w:t>
      </w:r>
      <w:r>
        <w:rPr>
          <w:rFonts w:hint="eastAsia" w:ascii="仿宋_GB2312" w:hAnsi="仿宋_GB2312" w:eastAsia="仿宋_GB2312" w:cs="仿宋_GB2312"/>
          <w:bCs/>
          <w:sz w:val="21"/>
          <w:szCs w:val="21"/>
        </w:rPr>
        <w:t xml:space="preserve"> </w:t>
      </w:r>
    </w:p>
    <w:p>
      <w:pPr>
        <w:ind w:firstLine="1575" w:firstLineChars="750"/>
        <w:jc w:val="left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bCs/>
          <w:sz w:val="21"/>
          <w:szCs w:val="21"/>
        </w:rPr>
        <w:t>---------------------------------------</w:t>
      </w:r>
    </w:p>
    <w:p>
      <w:pPr>
        <w:ind w:firstLine="315" w:firstLineChars="150"/>
        <w:jc w:val="left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4.俗话说:礼轻情谊重。</w:t>
      </w:r>
    </w:p>
    <w:p>
      <w:pPr>
        <w:ind w:firstLine="420" w:firstLineChars="200"/>
        <w:jc w:val="left"/>
        <w:rPr>
          <w:rFonts w:hint="eastAsia" w:ascii="仿宋_GB2312" w:hAnsi="仿宋_GB2312" w:eastAsia="仿宋_GB2312" w:cs="仿宋_GB2312"/>
          <w:bCs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可俗话又说:</w:t>
      </w:r>
      <w:r>
        <w:rPr>
          <w:rFonts w:hint="eastAsia" w:ascii="仿宋_GB2312" w:hAnsi="仿宋_GB2312" w:eastAsia="仿宋_GB2312" w:cs="仿宋_GB2312"/>
          <w:bCs/>
          <w:sz w:val="21"/>
          <w:szCs w:val="21"/>
        </w:rPr>
        <w:t xml:space="preserve"> </w:t>
      </w:r>
    </w:p>
    <w:p>
      <w:pPr>
        <w:ind w:firstLine="1470" w:firstLineChars="700"/>
        <w:jc w:val="left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bCs/>
          <w:sz w:val="21"/>
          <w:szCs w:val="21"/>
        </w:rPr>
        <w:t>--------------------------------------</w:t>
      </w:r>
    </w:p>
    <w:p>
      <w:pPr>
        <w:ind w:firstLine="420" w:firstLineChars="200"/>
        <w:jc w:val="left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3、驳论证</w:t>
      </w:r>
    </w:p>
    <w:p>
      <w:pPr>
        <w:ind w:firstLine="420" w:firstLineChars="200"/>
        <w:jc w:val="left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前几天有人上我家推销净水器,一个劲的说他们的净水器如何如何的好,像人的肾一样（比喻论证）,能过滤掉那些脏物质。</w:t>
      </w:r>
    </w:p>
    <w:p>
      <w:pPr>
        <w:ind w:firstLine="420" w:firstLineChars="200"/>
        <w:jc w:val="left"/>
        <w:rPr>
          <w:rFonts w:hint="eastAsia" w:ascii="仿宋_GB2312" w:hAnsi="仿宋_GB2312" w:eastAsia="仿宋_GB2312" w:cs="仿宋_GB2312"/>
          <w:bCs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我老妈神叨叨的来了一句:</w:t>
      </w:r>
      <w:r>
        <w:rPr>
          <w:rFonts w:hint="eastAsia" w:ascii="仿宋_GB2312" w:hAnsi="仿宋_GB2312" w:eastAsia="仿宋_GB2312" w:cs="仿宋_GB2312"/>
          <w:bCs/>
          <w:sz w:val="21"/>
          <w:szCs w:val="21"/>
        </w:rPr>
        <w:t xml:space="preserve"> </w:t>
      </w:r>
    </w:p>
    <w:p>
      <w:pPr>
        <w:ind w:firstLine="3150" w:firstLineChars="1500"/>
        <w:jc w:val="left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bCs/>
          <w:sz w:val="21"/>
          <w:szCs w:val="21"/>
        </w:rPr>
        <w:t>--------------------------------------</w:t>
      </w:r>
    </w:p>
    <w:p>
      <w:pPr>
        <w:numPr>
          <w:ilvl w:val="0"/>
          <w:numId w:val="2"/>
        </w:numPr>
        <w:ind w:left="210" w:firstLine="420" w:firstLineChars="200"/>
        <w:rPr>
          <w:rFonts w:hint="eastAsia" w:ascii="仿宋_GB2312" w:hAnsi="仿宋_GB2312" w:eastAsia="仿宋_GB2312" w:cs="仿宋_GB2312"/>
          <w:sz w:val="21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课后检测</w:t>
      </w:r>
    </w:p>
    <w:p>
      <w:pPr>
        <w:numPr>
          <w:numId w:val="0"/>
        </w:numPr>
        <w:ind w:leftChars="200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1"/>
          <w:szCs w:val="21"/>
        </w:rPr>
        <w:t>.下面是董事长的新任秘书在向其汇报会议安排时的原话,因缺少逻辑性和条理性,董事长很不满意,要求新任秘书将此次会议安排按照“结论先行”“逻辑呈现”和“归纳总结”的逻辑顺序重新向其汇报。假如你是其新任秘书,你会怎样重新进行汇报?</w:t>
      </w:r>
    </w:p>
    <w:p>
      <w:pPr>
        <w:numPr>
          <w:numId w:val="0"/>
        </w:numPr>
        <w:ind w:leftChars="200" w:firstLine="420" w:firstLineChars="200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董事长,刚刚杨总来电话说系统出现问题,明天下午4点钟他无法参加会议了。张总说他晚一点开会没有关系,明天晚点再开也可以。可是明天的会议室已经被别人预定了,但是星期五是空着的。王总的秘书说,王总明天很晚才能从外地出差回来。我建议,会议的时间定在星期五上午10点,您看行吗?</w:t>
      </w:r>
    </w:p>
    <w:p>
      <w:pPr>
        <w:numPr>
          <w:numId w:val="0"/>
        </w:numPr>
        <w:ind w:leftChars="200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</w:p>
    <w:p>
      <w:pPr>
        <w:numPr>
          <w:numId w:val="0"/>
        </w:numPr>
        <w:ind w:leftChars="200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</w:p>
    <w:p>
      <w:pPr>
        <w:numPr>
          <w:numId w:val="0"/>
        </w:numPr>
        <w:ind w:leftChars="200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1"/>
          <w:szCs w:val="21"/>
        </w:rPr>
        <w:t>.下列句子运用了逻辑上的归谬法,请你用自己的语言概括归谬法的逻辑思路,并按照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这种思路,仿照其中一个例句的格式另写一例。</w:t>
      </w:r>
    </w:p>
    <w:p>
      <w:pPr>
        <w:numPr>
          <w:numId w:val="0"/>
        </w:numPr>
        <w:ind w:leftChars="200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例句:</w:t>
      </w:r>
    </w:p>
    <w:p>
      <w:pPr>
        <w:numPr>
          <w:numId w:val="0"/>
        </w:numPr>
        <w:ind w:leftChars="200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①有人说,好的作品永远是少数人的专利品,作品的水平越高,看懂的人必定就越少。如果这样的话,那么谁也看不懂的作品岂不就是世界上最好的作品了。</w:t>
      </w:r>
    </w:p>
    <w:p>
      <w:pPr>
        <w:numPr>
          <w:numId w:val="0"/>
        </w:numPr>
        <w:ind w:leftChars="200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②有人说,很多大学生毕业找不到工作,所以上大学是没用的。如果这样的话,那么大学岂不是就没有必要存在了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firstLine="420" w:firstLineChars="200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21"/>
          <w:szCs w:val="21"/>
        </w:rPr>
        <w:t>人们习惯从正面看问题，容易形成思维定式。其实事物都有两面性，既有一般的常规属性，也有一些特殊属性。客观事物的两面性为逆向思维提供了广阔的空间。</w:t>
      </w:r>
    </w:p>
    <w:p>
      <w:pPr>
        <w:numPr>
          <w:numId w:val="0"/>
        </w:numPr>
        <w:ind w:leftChars="200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请从下面三句名言中任选一句进行反驳。</w:t>
      </w:r>
    </w:p>
    <w:p>
      <w:pPr>
        <w:ind w:left="210"/>
        <w:rPr>
          <w:rFonts w:hint="eastAsia" w:ascii="仿宋_GB2312" w:hAnsi="仿宋_GB2312" w:eastAsia="仿宋_GB2312" w:cs="仿宋_GB2312"/>
          <w:sz w:val="21"/>
          <w:szCs w:val="21"/>
        </w:rPr>
      </w:pPr>
    </w:p>
    <w:p>
      <w:pPr>
        <w:ind w:left="210" w:firstLine="105" w:firstLineChars="50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 xml:space="preserve">①沉默是金。②逆境出人才。③不想当元帅的士兵不是好士兵。 </w:t>
      </w:r>
    </w:p>
    <w:p>
      <w:pPr>
        <w:ind w:left="210"/>
        <w:rPr>
          <w:rFonts w:hint="eastAsia" w:ascii="仿宋_GB2312" w:hAnsi="仿宋_GB2312" w:eastAsia="仿宋_GB2312" w:cs="仿宋_GB2312"/>
          <w:sz w:val="21"/>
          <w:szCs w:val="21"/>
        </w:rPr>
      </w:pPr>
    </w:p>
    <w:p>
      <w:pPr>
        <w:ind w:left="210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要求：逻辑严密，论证清晰。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szCs w:val="18"/>
      </w:rPr>
    </w:pPr>
    <w:r>
      <w:rPr>
        <w:rFonts w:hint="eastAsia"/>
        <w:szCs w:val="18"/>
      </w:rPr>
      <w:t>横峰中学学生课堂导学训案（学科） 编号：hfzx （已编撰次数） 使用时间: 编写人： 审核人：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9798A15"/>
    <w:multiLevelType w:val="singleLevel"/>
    <w:tmpl w:val="E9798A15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FFCFBAE"/>
    <w:multiLevelType w:val="singleLevel"/>
    <w:tmpl w:val="4FFCFBA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NjZkMTcxMWEzZTUyNGViODk4YWM4MjViZWQ1Y2UifQ=="/>
  </w:docVars>
  <w:rsids>
    <w:rsidRoot w:val="00045CC2"/>
    <w:rsid w:val="00045CC2"/>
    <w:rsid w:val="00357A63"/>
    <w:rsid w:val="004020EC"/>
    <w:rsid w:val="005F3170"/>
    <w:rsid w:val="00A43A62"/>
    <w:rsid w:val="00AE6472"/>
    <w:rsid w:val="00AF71DD"/>
    <w:rsid w:val="00C27E98"/>
    <w:rsid w:val="00C3608B"/>
    <w:rsid w:val="00D229BD"/>
    <w:rsid w:val="00F8722B"/>
    <w:rsid w:val="18EA07E2"/>
    <w:rsid w:val="4DC90020"/>
    <w:rsid w:val="7E130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8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175</Words>
  <Characters>1004</Characters>
  <Lines>8</Lines>
  <Paragraphs>2</Paragraphs>
  <TotalTime>4</TotalTime>
  <ScaleCrop>false</ScaleCrop>
  <LinksUpToDate>false</LinksUpToDate>
  <CharactersWithSpaces>1177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2024-10-29T00:39:00Z</dcterms:created>
  <dc:creator>LXF</dc:creator>
  <cp:lastModifiedBy>Administrator</cp:lastModifiedBy>
  <dcterms:modified xsi:type="dcterms:W3CDTF">2024-10-30T12:01:55Z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65F2A9867A6B451F9D42496D9E48DE9E_12</vt:lpwstr>
  </property>
</Properties>
</file>