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94058C">
      <w:pPr>
        <w:keepNext w:val="0"/>
        <w:keepLines w:val="0"/>
        <w:pageBreakBefore w:val="0"/>
        <w:widowControl w:val="0"/>
        <w:numPr>
          <w:ilvl w:val="0"/>
          <w:numId w:val="0"/>
        </w:numPr>
        <w:kinsoku/>
        <w:wordWrap/>
        <w:overflowPunct/>
        <w:topLinePunct w:val="0"/>
        <w:autoSpaceDE/>
        <w:autoSpaceDN/>
        <w:bidi w:val="0"/>
        <w:spacing w:line="560" w:lineRule="exact"/>
        <w:ind w:firstLine="442" w:firstLineChars="100"/>
        <w:jc w:val="center"/>
        <w:textAlignment w:val="auto"/>
        <w:rPr>
          <w:rFonts w:hint="eastAsia" w:ascii="方正小标宋简体" w:hAnsi="方正小标宋简体" w:eastAsia="方正小标宋简体" w:cs="方正小标宋简体"/>
          <w:b/>
          <w:bCs/>
          <w:sz w:val="44"/>
          <w:szCs w:val="44"/>
          <w:lang w:val="en-US" w:eastAsia="zh-CN"/>
        </w:rPr>
      </w:pPr>
      <w:r>
        <w:rPr>
          <w:rFonts w:hint="eastAsia" w:ascii="方正小标宋简体" w:hAnsi="方正小标宋简体" w:eastAsia="方正小标宋简体" w:cs="方正小标宋简体"/>
          <w:b/>
          <w:bCs/>
          <w:sz w:val="44"/>
          <w:szCs w:val="44"/>
          <w:lang w:val="en-US" w:eastAsia="zh-CN"/>
        </w:rPr>
        <w:t>高二语文《逻辑的力量》导学训案</w:t>
      </w:r>
    </w:p>
    <w:p w14:paraId="4AF0BA2A">
      <w:pPr>
        <w:keepNext w:val="0"/>
        <w:keepLines w:val="0"/>
        <w:pageBreakBefore w:val="0"/>
        <w:widowControl w:val="0"/>
        <w:numPr>
          <w:ilvl w:val="0"/>
          <w:numId w:val="0"/>
        </w:numPr>
        <w:kinsoku/>
        <w:wordWrap/>
        <w:overflowPunct/>
        <w:topLinePunct w:val="0"/>
        <w:autoSpaceDE/>
        <w:autoSpaceDN/>
        <w:bidi w:val="0"/>
        <w:spacing w:line="560" w:lineRule="exact"/>
        <w:ind w:firstLine="360" w:firstLineChars="100"/>
        <w:jc w:val="center"/>
        <w:textAlignment w:val="auto"/>
        <w:rPr>
          <w:rFonts w:hint="eastAsia" w:ascii="仿宋_GB2312" w:hAnsi="仿宋_GB2312" w:eastAsia="仿宋_GB2312" w:cs="仿宋_GB2312"/>
          <w:sz w:val="36"/>
          <w:szCs w:val="36"/>
          <w:lang w:val="en-US" w:eastAsia="zh-CN"/>
        </w:rPr>
      </w:pPr>
      <w:r>
        <w:rPr>
          <w:rFonts w:hint="eastAsia" w:ascii="仿宋_GB2312" w:hAnsi="仿宋_GB2312" w:eastAsia="仿宋_GB2312" w:cs="仿宋_GB2312"/>
          <w:sz w:val="36"/>
          <w:szCs w:val="36"/>
          <w:lang w:val="en-US" w:eastAsia="zh-CN"/>
        </w:rPr>
        <w:t>二 运用有效的推理形式（第二课时）</w:t>
      </w:r>
    </w:p>
    <w:p w14:paraId="4558676B">
      <w:pPr>
        <w:keepNext w:val="0"/>
        <w:keepLines w:val="0"/>
        <w:pageBreakBefore w:val="0"/>
        <w:widowControl w:val="0"/>
        <w:numPr>
          <w:ilvl w:val="0"/>
          <w:numId w:val="0"/>
        </w:numPr>
        <w:kinsoku/>
        <w:wordWrap/>
        <w:overflowPunct/>
        <w:topLinePunct w:val="0"/>
        <w:autoSpaceDE/>
        <w:autoSpaceDN/>
        <w:bidi w:val="0"/>
        <w:spacing w:line="560" w:lineRule="exact"/>
        <w:ind w:firstLine="320" w:firstLineChars="1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班级__________ 姓名__________  小组__________ </w:t>
      </w:r>
    </w:p>
    <w:p w14:paraId="1D4C91AB">
      <w:pPr>
        <w:keepNext w:val="0"/>
        <w:keepLines w:val="0"/>
        <w:pageBreakBefore w:val="0"/>
        <w:widowControl w:val="0"/>
        <w:numPr>
          <w:ilvl w:val="0"/>
          <w:numId w:val="1"/>
        </w:numPr>
        <w:kinsoku/>
        <w:wordWrap/>
        <w:overflowPunct/>
        <w:topLinePunct w:val="0"/>
        <w:autoSpaceDE/>
        <w:autoSpaceDN/>
        <w:bidi w:val="0"/>
        <w:spacing w:line="560" w:lineRule="exact"/>
        <w:ind w:firstLine="321" w:firstLineChars="1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学习目标</w:t>
      </w:r>
    </w:p>
    <w:p w14:paraId="3F994F05">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1.接触一些基本的逻辑方法，学习辨析逻辑错误，进行简单的逻辑推理，并运用逻辑方法来构建并完善论证。</w:t>
      </w:r>
    </w:p>
    <w:p w14:paraId="6E228E0F">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2.经过这样的“逻辑之旅”，能更清晰地认识语言与逻辑的关系，发展逻辑思维，滋养理性精神，提升思维品质。</w:t>
      </w:r>
    </w:p>
    <w:p w14:paraId="1CCE49A4">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3.树立独立思考，深入探究的意识，提高思维能力和表达能力。</w:t>
      </w:r>
    </w:p>
    <w:p w14:paraId="08CCF915">
      <w:pPr>
        <w:keepNext w:val="0"/>
        <w:keepLines w:val="0"/>
        <w:pageBreakBefore w:val="0"/>
        <w:widowControl w:val="0"/>
        <w:numPr>
          <w:ilvl w:val="0"/>
          <w:numId w:val="1"/>
        </w:numPr>
        <w:kinsoku/>
        <w:wordWrap/>
        <w:overflowPunct/>
        <w:topLinePunct w:val="0"/>
        <w:autoSpaceDE/>
        <w:autoSpaceDN/>
        <w:bidi w:val="0"/>
        <w:spacing w:line="560" w:lineRule="exact"/>
        <w:ind w:left="0" w:leftChars="0" w:firstLine="321" w:firstLineChars="1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重点、难点</w:t>
      </w:r>
    </w:p>
    <w:p w14:paraId="5A4C5808">
      <w:pPr>
        <w:keepNext w:val="0"/>
        <w:keepLines w:val="0"/>
        <w:pageBreakBefore w:val="0"/>
        <w:widowControl w:val="0"/>
        <w:numPr>
          <w:ilvl w:val="0"/>
          <w:numId w:val="0"/>
        </w:numPr>
        <w:kinsoku/>
        <w:wordWrap/>
        <w:overflowPunct/>
        <w:topLinePunct w:val="0"/>
        <w:autoSpaceDE/>
        <w:autoSpaceDN/>
        <w:bidi w:val="0"/>
        <w:spacing w:line="560" w:lineRule="exact"/>
        <w:ind w:leftChars="1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1.了解逻辑的基本知识，初步了解高考中涉及逻辑知识的相关题目。</w:t>
      </w:r>
    </w:p>
    <w:p w14:paraId="72286E1F">
      <w:pPr>
        <w:keepNext w:val="0"/>
        <w:keepLines w:val="0"/>
        <w:pageBreakBefore w:val="0"/>
        <w:widowControl w:val="0"/>
        <w:numPr>
          <w:ilvl w:val="0"/>
          <w:numId w:val="0"/>
        </w:numPr>
        <w:kinsoku/>
        <w:wordWrap/>
        <w:overflowPunct/>
        <w:topLinePunct w:val="0"/>
        <w:autoSpaceDE/>
        <w:autoSpaceDN/>
        <w:bidi w:val="0"/>
        <w:spacing w:line="560" w:lineRule="exact"/>
        <w:ind w:leftChars="1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2.辨析逻辑错误，进行简单的逻辑推理，并运用逻辑方法来构建并完善论证。</w:t>
      </w:r>
    </w:p>
    <w:p w14:paraId="336AA6C6">
      <w:pPr>
        <w:keepNext w:val="0"/>
        <w:keepLines w:val="0"/>
        <w:pageBreakBefore w:val="0"/>
        <w:widowControl w:val="0"/>
        <w:numPr>
          <w:ilvl w:val="0"/>
          <w:numId w:val="1"/>
        </w:numPr>
        <w:kinsoku/>
        <w:wordWrap/>
        <w:overflowPunct/>
        <w:topLinePunct w:val="0"/>
        <w:autoSpaceDE/>
        <w:autoSpaceDN/>
        <w:bidi w:val="0"/>
        <w:spacing w:line="560" w:lineRule="exact"/>
        <w:ind w:left="0" w:leftChars="0" w:firstLine="321" w:firstLineChars="1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导学流程</w:t>
      </w:r>
    </w:p>
    <w:p w14:paraId="7FF3B484">
      <w:pPr>
        <w:keepNext w:val="0"/>
        <w:keepLines w:val="0"/>
        <w:pageBreakBefore w:val="0"/>
        <w:widowControl w:val="0"/>
        <w:numPr>
          <w:ilvl w:val="0"/>
          <w:numId w:val="2"/>
        </w:numPr>
        <w:kinsoku/>
        <w:wordWrap/>
        <w:overflowPunct/>
        <w:topLinePunct w:val="0"/>
        <w:autoSpaceDE/>
        <w:autoSpaceDN/>
        <w:bidi w:val="0"/>
        <w:spacing w:line="560" w:lineRule="exact"/>
        <w:ind w:leftChars="1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基础感悟：</w:t>
      </w:r>
    </w:p>
    <w:p w14:paraId="205DC68B">
      <w:pPr>
        <w:keepNext w:val="0"/>
        <w:keepLines w:val="0"/>
        <w:pageBreakBefore w:val="0"/>
        <w:widowControl w:val="0"/>
        <w:numPr>
          <w:ilvl w:val="0"/>
          <w:numId w:val="0"/>
        </w:numPr>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（1）理解推理及其形式</w:t>
      </w:r>
    </w:p>
    <w:p w14:paraId="3A615EDC">
      <w:pPr>
        <w:keepNext w:val="0"/>
        <w:keepLines w:val="0"/>
        <w:pageBreakBefore w:val="0"/>
        <w:widowControl w:val="0"/>
        <w:numPr>
          <w:ilvl w:val="0"/>
          <w:numId w:val="0"/>
        </w:numPr>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（2）探究常见逻辑推理形式</w:t>
      </w:r>
    </w:p>
    <w:p w14:paraId="4AE0C1BD">
      <w:pPr>
        <w:keepNext w:val="0"/>
        <w:keepLines w:val="0"/>
        <w:pageBreakBefore w:val="0"/>
        <w:widowControl w:val="0"/>
        <w:numPr>
          <w:ilvl w:val="0"/>
          <w:numId w:val="0"/>
        </w:numPr>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排除法(选言推理)</w:t>
      </w:r>
    </w:p>
    <w:p w14:paraId="20DE005B">
      <w:pPr>
        <w:keepNext w:val="0"/>
        <w:keepLines w:val="0"/>
        <w:pageBreakBefore w:val="0"/>
        <w:widowControl w:val="0"/>
        <w:numPr>
          <w:ilvl w:val="0"/>
          <w:numId w:val="0"/>
        </w:numPr>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二难推理</w:t>
      </w:r>
    </w:p>
    <w:p w14:paraId="0417B43F">
      <w:pPr>
        <w:keepNext w:val="0"/>
        <w:keepLines w:val="0"/>
        <w:pageBreakBefore w:val="0"/>
        <w:widowControl w:val="0"/>
        <w:numPr>
          <w:ilvl w:val="0"/>
          <w:numId w:val="0"/>
        </w:numPr>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归纳推理</w:t>
      </w:r>
    </w:p>
    <w:p w14:paraId="3643477A">
      <w:pPr>
        <w:keepNext w:val="0"/>
        <w:keepLines w:val="0"/>
        <w:pageBreakBefore w:val="0"/>
        <w:widowControl w:val="0"/>
        <w:numPr>
          <w:ilvl w:val="0"/>
          <w:numId w:val="0"/>
        </w:numPr>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类比推理</w:t>
      </w:r>
    </w:p>
    <w:p w14:paraId="62815973">
      <w:pPr>
        <w:keepNext w:val="0"/>
        <w:keepLines w:val="0"/>
        <w:pageBreakBefore w:val="0"/>
        <w:widowControl w:val="0"/>
        <w:numPr>
          <w:ilvl w:val="0"/>
          <w:numId w:val="2"/>
        </w:numPr>
        <w:kinsoku/>
        <w:wordWrap/>
        <w:overflowPunct/>
        <w:topLinePunct w:val="0"/>
        <w:autoSpaceDE/>
        <w:autoSpaceDN/>
        <w:bidi w:val="0"/>
        <w:spacing w:line="560" w:lineRule="exact"/>
        <w:ind w:leftChars="1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未知探究：</w:t>
      </w:r>
    </w:p>
    <w:p w14:paraId="3C94C965">
      <w:pPr>
        <w:keepNext w:val="0"/>
        <w:keepLines w:val="0"/>
        <w:pageBreakBefore w:val="0"/>
        <w:widowControl w:val="0"/>
        <w:kinsoku/>
        <w:wordWrap/>
        <w:overflowPunct/>
        <w:topLinePunct w:val="0"/>
        <w:autoSpaceDE/>
        <w:autoSpaceDN/>
        <w:bidi w:val="0"/>
        <w:adjustRightInd w:val="0"/>
        <w:snapToGrid w:val="0"/>
        <w:spacing w:line="56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val="0"/>
          <w:bCs w:val="0"/>
          <w:color w:val="000000" w:themeColor="text1"/>
          <w:sz w:val="32"/>
          <w:szCs w:val="32"/>
          <w14:textFill>
            <w14:solidFill>
              <w14:schemeClr w14:val="tx1"/>
            </w14:solidFill>
          </w14:textFill>
        </w:rPr>
        <w:t>辨别潜藏的逻辑错误，理解推理规则，借助逻辑知识促进语文学习。</w:t>
      </w:r>
    </w:p>
    <w:p w14:paraId="3A65C85F">
      <w:pPr>
        <w:keepNext w:val="0"/>
        <w:keepLines w:val="0"/>
        <w:pageBreakBefore w:val="0"/>
        <w:widowControl w:val="0"/>
        <w:numPr>
          <w:ilvl w:val="0"/>
          <w:numId w:val="2"/>
        </w:numPr>
        <w:kinsoku/>
        <w:wordWrap/>
        <w:overflowPunct/>
        <w:topLinePunct w:val="0"/>
        <w:autoSpaceDE/>
        <w:autoSpaceDN/>
        <w:bidi w:val="0"/>
        <w:spacing w:line="560" w:lineRule="exact"/>
        <w:ind w:leftChars="1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当堂检测：</w:t>
      </w:r>
    </w:p>
    <w:p w14:paraId="1F5F8288">
      <w:pPr>
        <w:keepNext w:val="0"/>
        <w:keepLines w:val="0"/>
        <w:pageBreakBefore w:val="0"/>
        <w:widowControl w:val="0"/>
        <w:numPr>
          <w:ilvl w:val="0"/>
          <w:numId w:val="0"/>
        </w:numPr>
        <w:kinsoku/>
        <w:wordWrap/>
        <w:overflowPunct/>
        <w:topLinePunct w:val="0"/>
        <w:autoSpaceDE/>
        <w:autoSpaceDN/>
        <w:bidi w:val="0"/>
        <w:spacing w:line="560" w:lineRule="exact"/>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（1）以下是历史上两个著名的二难推理，请分析东方朔和班婕妤的推理过程。</w:t>
      </w:r>
    </w:p>
    <w:p w14:paraId="6B860C8E">
      <w:pPr>
        <w:keepNext w:val="0"/>
        <w:keepLines w:val="0"/>
        <w:pageBreakBefore w:val="0"/>
        <w:widowControl w:val="0"/>
        <w:numPr>
          <w:ilvl w:val="0"/>
          <w:numId w:val="0"/>
        </w:numPr>
        <w:kinsoku/>
        <w:wordWrap/>
        <w:overflowPunct/>
        <w:topLinePunct w:val="0"/>
        <w:autoSpaceDE/>
        <w:autoSpaceDN/>
        <w:bidi w:val="0"/>
        <w:spacing w:line="560" w:lineRule="exact"/>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①东方朔喝了汉武帝的“不死酒”，汉武帝要杀他。他说：“如果你杀死我了，说明所谓的不死酒是假的，那你原本就不该杀我。如果杀不死我，不是白费劲吗？”</w:t>
      </w:r>
    </w:p>
    <w:p w14:paraId="74933810">
      <w:pPr>
        <w:keepNext w:val="0"/>
        <w:keepLines w:val="0"/>
        <w:pageBreakBefore w:val="0"/>
        <w:widowControl w:val="0"/>
        <w:numPr>
          <w:ilvl w:val="0"/>
          <w:numId w:val="0"/>
        </w:numPr>
        <w:kinsoku/>
        <w:wordWrap/>
        <w:overflowPunct/>
        <w:topLinePunct w:val="0"/>
        <w:autoSpaceDE/>
        <w:autoSpaceDN/>
        <w:bidi w:val="0"/>
        <w:spacing w:line="560" w:lineRule="exact"/>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②一次，赵飞燕在汉成帝面前告班婕妤的状，诬陷她曾向鬼神诅咒过汉成帝。汉成帝传诏班婕妤。班婕妤从容地回答道：“妾闻‘死生有命，富贵在天’，修善尚且不能得福，做坏事还能得到什么呢？假使鬼神无知，向他们诅咒又有什么好处呢？假若鬼神有知，他们就不会接受坏人的诉说。因此，我是不会做那样的傻事呀。”</w:t>
      </w:r>
    </w:p>
    <w:p w14:paraId="3B994D34">
      <w:pPr>
        <w:pStyle w:val="2"/>
        <w:snapToGrid w:val="0"/>
        <w:rPr>
          <w:rFonts w:ascii="Times New Roman" w:hAnsi="Times New Roman" w:cs="Times New Roman"/>
        </w:rPr>
      </w:pPr>
      <w:r>
        <w:rPr>
          <w:rFonts w:hint="eastAsia" w:ascii="仿宋_GB2312" w:hAnsi="仿宋_GB2312" w:eastAsia="仿宋_GB2312" w:cs="仿宋_GB2312"/>
          <w:sz w:val="32"/>
          <w:szCs w:val="32"/>
          <w:lang w:val="en-US" w:eastAsia="zh-CN"/>
        </w:rPr>
        <w:t>（2）比较“三段论”与“归纳推理”、“类比推理”与“比喻”，思考其推理形式分类或语用手法的不同及区别特点，填写任务表。</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1"/>
        <w:gridCol w:w="1666"/>
        <w:gridCol w:w="2573"/>
        <w:gridCol w:w="2529"/>
      </w:tblGrid>
      <w:tr w14:paraId="781300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6" w:hRule="atLeast"/>
          <w:jc w:val="center"/>
        </w:trPr>
        <w:tc>
          <w:tcPr>
            <w:tcW w:w="2877" w:type="dxa"/>
            <w:gridSpan w:val="2"/>
            <w:shd w:val="clear" w:color="auto" w:fill="auto"/>
            <w:vAlign w:val="center"/>
          </w:tcPr>
          <w:p w14:paraId="0415B9D1">
            <w:pPr>
              <w:pStyle w:val="2"/>
              <w:snapToGrid w:val="0"/>
              <w:ind w:firstLine="482"/>
              <w:jc w:val="center"/>
              <w:rPr>
                <w:rFonts w:ascii="Times New Roman" w:hAnsi="Times New Roman" w:cs="Times New Roman"/>
                <w:b/>
              </w:rPr>
            </w:pPr>
            <w:r>
              <w:rPr>
                <w:rFonts w:ascii="Times New Roman" w:hAnsi="Times New Roman" w:cs="Times New Roman"/>
                <w:b/>
              </w:rPr>
              <w:t>比较对象</w:t>
            </w:r>
          </w:p>
        </w:tc>
        <w:tc>
          <w:tcPr>
            <w:tcW w:w="2573" w:type="dxa"/>
            <w:shd w:val="clear" w:color="auto" w:fill="auto"/>
            <w:vAlign w:val="center"/>
          </w:tcPr>
          <w:p w14:paraId="7C0AEC15">
            <w:pPr>
              <w:pStyle w:val="2"/>
              <w:snapToGrid w:val="0"/>
              <w:ind w:firstLine="0" w:firstLineChars="0"/>
              <w:jc w:val="center"/>
              <w:rPr>
                <w:rFonts w:ascii="Times New Roman" w:hAnsi="Times New Roman" w:cs="Times New Roman"/>
                <w:b/>
              </w:rPr>
            </w:pPr>
            <w:r>
              <w:rPr>
                <w:rFonts w:ascii="Times New Roman" w:hAnsi="Times New Roman" w:cs="Times New Roman"/>
                <w:b/>
              </w:rPr>
              <w:t>推理形式分类或语用手法的不同</w:t>
            </w:r>
          </w:p>
        </w:tc>
        <w:tc>
          <w:tcPr>
            <w:tcW w:w="2529" w:type="dxa"/>
            <w:shd w:val="clear" w:color="auto" w:fill="auto"/>
            <w:vAlign w:val="center"/>
          </w:tcPr>
          <w:p w14:paraId="6E199BE5">
            <w:pPr>
              <w:pStyle w:val="2"/>
              <w:snapToGrid w:val="0"/>
              <w:ind w:firstLine="482"/>
              <w:jc w:val="center"/>
              <w:rPr>
                <w:rFonts w:ascii="Times New Roman" w:hAnsi="Times New Roman" w:cs="Times New Roman"/>
                <w:b/>
              </w:rPr>
            </w:pPr>
            <w:r>
              <w:rPr>
                <w:rFonts w:ascii="Times New Roman" w:hAnsi="Times New Roman" w:cs="Times New Roman"/>
                <w:b/>
              </w:rPr>
              <w:t>区别特点</w:t>
            </w:r>
          </w:p>
        </w:tc>
      </w:tr>
      <w:tr w14:paraId="31D628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jc w:val="center"/>
        </w:trPr>
        <w:tc>
          <w:tcPr>
            <w:tcW w:w="1211" w:type="dxa"/>
            <w:vMerge w:val="restart"/>
            <w:shd w:val="clear" w:color="auto" w:fill="auto"/>
            <w:vAlign w:val="center"/>
          </w:tcPr>
          <w:p w14:paraId="51F2F858">
            <w:pPr>
              <w:pStyle w:val="2"/>
              <w:snapToGrid w:val="0"/>
              <w:ind w:firstLine="0" w:firstLineChars="0"/>
              <w:rPr>
                <w:rFonts w:ascii="Times New Roman" w:hAnsi="Times New Roman" w:cs="Times New Roman"/>
              </w:rPr>
            </w:pPr>
            <w:r>
              <w:rPr>
                <w:rFonts w:ascii="Times New Roman" w:hAnsi="Times New Roman" w:cs="Times New Roman"/>
              </w:rPr>
              <w:t>第一组</w:t>
            </w:r>
          </w:p>
        </w:tc>
        <w:tc>
          <w:tcPr>
            <w:tcW w:w="1666" w:type="dxa"/>
            <w:shd w:val="clear" w:color="auto" w:fill="auto"/>
            <w:vAlign w:val="center"/>
          </w:tcPr>
          <w:p w14:paraId="0847ACC7">
            <w:pPr>
              <w:pStyle w:val="2"/>
              <w:snapToGrid w:val="0"/>
              <w:ind w:firstLine="0" w:firstLineChars="0"/>
              <w:rPr>
                <w:rFonts w:ascii="Times New Roman" w:hAnsi="Times New Roman" w:cs="Times New Roman"/>
              </w:rPr>
            </w:pPr>
            <w:r>
              <w:rPr>
                <w:rFonts w:ascii="Times New Roman" w:hAnsi="Times New Roman" w:cs="Times New Roman"/>
              </w:rPr>
              <w:t>三段论</w:t>
            </w:r>
          </w:p>
        </w:tc>
        <w:tc>
          <w:tcPr>
            <w:tcW w:w="2573" w:type="dxa"/>
            <w:shd w:val="clear" w:color="auto" w:fill="auto"/>
            <w:vAlign w:val="center"/>
          </w:tcPr>
          <w:p w14:paraId="76762F9D">
            <w:pPr>
              <w:pStyle w:val="2"/>
              <w:snapToGrid w:val="0"/>
              <w:jc w:val="center"/>
              <w:rPr>
                <w:rFonts w:ascii="Times New Roman" w:hAnsi="Times New Roman" w:cs="Times New Roman"/>
              </w:rPr>
            </w:pPr>
            <w:r>
              <w:rPr>
                <w:rFonts w:ascii="Times New Roman" w:hAnsi="Times New Roman" w:cs="Times New Roman"/>
              </w:rPr>
              <w:t>(1)</w:t>
            </w:r>
          </w:p>
        </w:tc>
        <w:tc>
          <w:tcPr>
            <w:tcW w:w="2529" w:type="dxa"/>
            <w:shd w:val="clear" w:color="auto" w:fill="auto"/>
            <w:vAlign w:val="center"/>
          </w:tcPr>
          <w:p w14:paraId="1B41E89E">
            <w:pPr>
              <w:pStyle w:val="2"/>
              <w:snapToGrid w:val="0"/>
              <w:jc w:val="center"/>
              <w:rPr>
                <w:rFonts w:ascii="Times New Roman" w:hAnsi="Times New Roman" w:cs="Times New Roman"/>
              </w:rPr>
            </w:pPr>
            <w:r>
              <w:rPr>
                <w:rFonts w:ascii="Times New Roman" w:hAnsi="Times New Roman" w:cs="Times New Roman"/>
              </w:rPr>
              <w:t>(2)</w:t>
            </w:r>
          </w:p>
        </w:tc>
      </w:tr>
      <w:tr w14:paraId="382A74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jc w:val="center"/>
        </w:trPr>
        <w:tc>
          <w:tcPr>
            <w:tcW w:w="1211" w:type="dxa"/>
            <w:vMerge w:val="continue"/>
            <w:shd w:val="clear" w:color="auto" w:fill="auto"/>
            <w:vAlign w:val="center"/>
          </w:tcPr>
          <w:p w14:paraId="18D1FBD9">
            <w:pPr>
              <w:pStyle w:val="2"/>
              <w:snapToGrid w:val="0"/>
              <w:jc w:val="center"/>
              <w:rPr>
                <w:rFonts w:ascii="Times New Roman" w:hAnsi="Times New Roman" w:cs="Times New Roman"/>
              </w:rPr>
            </w:pPr>
          </w:p>
        </w:tc>
        <w:tc>
          <w:tcPr>
            <w:tcW w:w="1666" w:type="dxa"/>
            <w:shd w:val="clear" w:color="auto" w:fill="auto"/>
            <w:vAlign w:val="center"/>
          </w:tcPr>
          <w:p w14:paraId="0045EECA">
            <w:pPr>
              <w:pStyle w:val="2"/>
              <w:snapToGrid w:val="0"/>
              <w:ind w:firstLine="0" w:firstLineChars="0"/>
              <w:rPr>
                <w:rFonts w:ascii="Times New Roman" w:hAnsi="Times New Roman" w:cs="Times New Roman"/>
              </w:rPr>
            </w:pPr>
            <w:r>
              <w:rPr>
                <w:rFonts w:ascii="Times New Roman" w:hAnsi="Times New Roman" w:cs="Times New Roman"/>
              </w:rPr>
              <w:t>归纳推理</w:t>
            </w:r>
          </w:p>
        </w:tc>
        <w:tc>
          <w:tcPr>
            <w:tcW w:w="2573" w:type="dxa"/>
            <w:shd w:val="clear" w:color="auto" w:fill="auto"/>
            <w:vAlign w:val="center"/>
          </w:tcPr>
          <w:p w14:paraId="6E393454">
            <w:pPr>
              <w:pStyle w:val="2"/>
              <w:snapToGrid w:val="0"/>
              <w:jc w:val="center"/>
              <w:rPr>
                <w:rFonts w:ascii="Times New Roman" w:hAnsi="Times New Roman" w:cs="Times New Roman"/>
              </w:rPr>
            </w:pPr>
            <w:r>
              <w:rPr>
                <w:rFonts w:ascii="Times New Roman" w:hAnsi="Times New Roman" w:cs="Times New Roman"/>
              </w:rPr>
              <w:t>(3)</w:t>
            </w:r>
          </w:p>
        </w:tc>
        <w:tc>
          <w:tcPr>
            <w:tcW w:w="2529" w:type="dxa"/>
            <w:shd w:val="clear" w:color="auto" w:fill="auto"/>
            <w:vAlign w:val="center"/>
          </w:tcPr>
          <w:p w14:paraId="3D79B7CB">
            <w:pPr>
              <w:pStyle w:val="2"/>
              <w:snapToGrid w:val="0"/>
              <w:jc w:val="center"/>
              <w:rPr>
                <w:rFonts w:hAnsi="宋体" w:cs="宋体"/>
              </w:rPr>
            </w:pPr>
            <w:r>
              <w:rPr>
                <w:rFonts w:ascii="Times New Roman" w:hAnsi="Times New Roman" w:cs="Times New Roman"/>
              </w:rPr>
              <w:t>(4)</w:t>
            </w:r>
          </w:p>
        </w:tc>
      </w:tr>
      <w:tr w14:paraId="09486E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jc w:val="center"/>
        </w:trPr>
        <w:tc>
          <w:tcPr>
            <w:tcW w:w="1211" w:type="dxa"/>
            <w:vMerge w:val="restart"/>
            <w:shd w:val="clear" w:color="auto" w:fill="auto"/>
            <w:vAlign w:val="center"/>
          </w:tcPr>
          <w:p w14:paraId="487D1516">
            <w:pPr>
              <w:pStyle w:val="2"/>
              <w:snapToGrid w:val="0"/>
              <w:ind w:firstLine="0" w:firstLineChars="0"/>
              <w:rPr>
                <w:rFonts w:ascii="Times New Roman" w:hAnsi="Times New Roman" w:cs="Times New Roman"/>
              </w:rPr>
            </w:pPr>
            <w:r>
              <w:rPr>
                <w:rFonts w:ascii="Times New Roman" w:hAnsi="Times New Roman" w:cs="Times New Roman"/>
              </w:rPr>
              <w:t>第二组</w:t>
            </w:r>
          </w:p>
        </w:tc>
        <w:tc>
          <w:tcPr>
            <w:tcW w:w="1666" w:type="dxa"/>
            <w:shd w:val="clear" w:color="auto" w:fill="auto"/>
            <w:vAlign w:val="center"/>
          </w:tcPr>
          <w:p w14:paraId="61139C43">
            <w:pPr>
              <w:pStyle w:val="2"/>
              <w:snapToGrid w:val="0"/>
              <w:ind w:firstLine="0" w:firstLineChars="0"/>
              <w:rPr>
                <w:rFonts w:ascii="Times New Roman" w:hAnsi="Times New Roman" w:cs="Times New Roman"/>
              </w:rPr>
            </w:pPr>
            <w:r>
              <w:rPr>
                <w:rFonts w:ascii="Times New Roman" w:hAnsi="Times New Roman" w:cs="Times New Roman"/>
              </w:rPr>
              <w:t>类比推理</w:t>
            </w:r>
          </w:p>
        </w:tc>
        <w:tc>
          <w:tcPr>
            <w:tcW w:w="2573" w:type="dxa"/>
            <w:shd w:val="clear" w:color="auto" w:fill="auto"/>
            <w:vAlign w:val="center"/>
          </w:tcPr>
          <w:p w14:paraId="3C470952">
            <w:pPr>
              <w:pStyle w:val="2"/>
              <w:snapToGrid w:val="0"/>
              <w:jc w:val="center"/>
              <w:rPr>
                <w:rFonts w:ascii="Times New Roman" w:hAnsi="Times New Roman" w:cs="Times New Roman"/>
              </w:rPr>
            </w:pPr>
            <w:r>
              <w:rPr>
                <w:rFonts w:ascii="Times New Roman" w:hAnsi="Times New Roman" w:cs="Times New Roman"/>
              </w:rPr>
              <w:t>(5)</w:t>
            </w:r>
          </w:p>
        </w:tc>
        <w:tc>
          <w:tcPr>
            <w:tcW w:w="2529" w:type="dxa"/>
            <w:shd w:val="clear" w:color="auto" w:fill="auto"/>
            <w:vAlign w:val="center"/>
          </w:tcPr>
          <w:p w14:paraId="653E2349">
            <w:pPr>
              <w:pStyle w:val="2"/>
              <w:snapToGrid w:val="0"/>
              <w:jc w:val="center"/>
              <w:rPr>
                <w:rFonts w:ascii="Times New Roman" w:hAnsi="Times New Roman" w:cs="Times New Roman"/>
              </w:rPr>
            </w:pPr>
            <w:r>
              <w:rPr>
                <w:rFonts w:ascii="Times New Roman" w:hAnsi="Times New Roman" w:cs="Times New Roman"/>
              </w:rPr>
              <w:t>(6)</w:t>
            </w:r>
          </w:p>
        </w:tc>
      </w:tr>
      <w:tr w14:paraId="670F6A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2" w:hRule="atLeast"/>
          <w:jc w:val="center"/>
        </w:trPr>
        <w:tc>
          <w:tcPr>
            <w:tcW w:w="1211" w:type="dxa"/>
            <w:vMerge w:val="continue"/>
            <w:shd w:val="clear" w:color="auto" w:fill="auto"/>
            <w:vAlign w:val="center"/>
          </w:tcPr>
          <w:p w14:paraId="3D264878">
            <w:pPr>
              <w:pStyle w:val="2"/>
              <w:snapToGrid w:val="0"/>
              <w:jc w:val="center"/>
              <w:rPr>
                <w:rFonts w:ascii="Times New Roman" w:hAnsi="Times New Roman" w:cs="Times New Roman"/>
              </w:rPr>
            </w:pPr>
          </w:p>
        </w:tc>
        <w:tc>
          <w:tcPr>
            <w:tcW w:w="1666" w:type="dxa"/>
            <w:shd w:val="clear" w:color="auto" w:fill="auto"/>
            <w:vAlign w:val="center"/>
          </w:tcPr>
          <w:p w14:paraId="1DBFD580">
            <w:pPr>
              <w:pStyle w:val="2"/>
              <w:snapToGrid w:val="0"/>
              <w:ind w:firstLine="0" w:firstLineChars="0"/>
              <w:rPr>
                <w:rFonts w:ascii="Times New Roman" w:hAnsi="Times New Roman" w:cs="Times New Roman"/>
              </w:rPr>
            </w:pPr>
            <w:r>
              <w:rPr>
                <w:rFonts w:ascii="Times New Roman" w:hAnsi="Times New Roman" w:cs="Times New Roman"/>
              </w:rPr>
              <w:t>比喻</w:t>
            </w:r>
          </w:p>
        </w:tc>
        <w:tc>
          <w:tcPr>
            <w:tcW w:w="2573" w:type="dxa"/>
            <w:shd w:val="clear" w:color="auto" w:fill="auto"/>
            <w:vAlign w:val="center"/>
          </w:tcPr>
          <w:p w14:paraId="24A55E7C">
            <w:pPr>
              <w:pStyle w:val="2"/>
              <w:snapToGrid w:val="0"/>
              <w:jc w:val="center"/>
              <w:rPr>
                <w:rFonts w:ascii="Times New Roman" w:hAnsi="Times New Roman" w:cs="Times New Roman"/>
              </w:rPr>
            </w:pPr>
            <w:r>
              <w:rPr>
                <w:rFonts w:ascii="Times New Roman" w:hAnsi="Times New Roman" w:cs="Times New Roman"/>
              </w:rPr>
              <w:t>(7)</w:t>
            </w:r>
          </w:p>
        </w:tc>
        <w:tc>
          <w:tcPr>
            <w:tcW w:w="2529" w:type="dxa"/>
            <w:shd w:val="clear" w:color="auto" w:fill="auto"/>
            <w:vAlign w:val="center"/>
          </w:tcPr>
          <w:p w14:paraId="653C61AF">
            <w:pPr>
              <w:pStyle w:val="2"/>
              <w:snapToGrid w:val="0"/>
              <w:jc w:val="center"/>
              <w:rPr>
                <w:rFonts w:ascii="Times New Roman" w:hAnsi="Times New Roman" w:eastAsia="黑体" w:cs="Times New Roman"/>
              </w:rPr>
            </w:pPr>
            <w:r>
              <w:rPr>
                <w:rFonts w:ascii="Times New Roman" w:hAnsi="Times New Roman" w:cs="Times New Roman"/>
              </w:rPr>
              <w:t>(8)</w:t>
            </w:r>
          </w:p>
        </w:tc>
      </w:tr>
    </w:tbl>
    <w:p w14:paraId="6D514C29">
      <w:pPr>
        <w:keepNext w:val="0"/>
        <w:keepLines w:val="0"/>
        <w:pageBreakBefore w:val="0"/>
        <w:widowControl w:val="0"/>
        <w:numPr>
          <w:ilvl w:val="0"/>
          <w:numId w:val="0"/>
        </w:numPr>
        <w:kinsoku/>
        <w:wordWrap/>
        <w:overflowPunct/>
        <w:topLinePunct w:val="0"/>
        <w:autoSpaceDE/>
        <w:autoSpaceDN/>
        <w:bidi w:val="0"/>
        <w:spacing w:line="560" w:lineRule="exact"/>
        <w:jc w:val="both"/>
        <w:textAlignment w:val="auto"/>
        <w:rPr>
          <w:rFonts w:hint="eastAsia" w:ascii="仿宋_GB2312" w:hAnsi="仿宋_GB2312" w:eastAsia="仿宋_GB2312" w:cs="仿宋_GB2312"/>
          <w:sz w:val="32"/>
          <w:szCs w:val="32"/>
          <w:lang w:val="en-US" w:eastAsia="zh-CN"/>
        </w:rPr>
      </w:pPr>
    </w:p>
    <w:p w14:paraId="25D19D76">
      <w:pPr>
        <w:keepNext w:val="0"/>
        <w:keepLines w:val="0"/>
        <w:pageBreakBefore w:val="0"/>
        <w:widowControl w:val="0"/>
        <w:numPr>
          <w:ilvl w:val="0"/>
          <w:numId w:val="2"/>
        </w:numPr>
        <w:kinsoku/>
        <w:wordWrap/>
        <w:overflowPunct/>
        <w:topLinePunct w:val="0"/>
        <w:autoSpaceDE/>
        <w:autoSpaceDN/>
        <w:bidi w:val="0"/>
        <w:spacing w:line="560" w:lineRule="exact"/>
        <w:ind w:leftChars="1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课后检测：</w:t>
      </w:r>
    </w:p>
    <w:p w14:paraId="0E0626DA">
      <w:pPr>
        <w:keepNext w:val="0"/>
        <w:keepLines w:val="0"/>
        <w:pageBreakBefore w:val="0"/>
        <w:widowControl w:val="0"/>
        <w:numPr>
          <w:ilvl w:val="0"/>
          <w:numId w:val="0"/>
        </w:numPr>
        <w:kinsoku/>
        <w:wordWrap/>
        <w:overflowPunct/>
        <w:topLinePunct w:val="0"/>
        <w:autoSpaceDE/>
        <w:autoSpaceDN/>
        <w:bidi w:val="0"/>
        <w:spacing w:line="560" w:lineRule="exact"/>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阅读下面的文字，完成后面的题目</w:t>
      </w:r>
    </w:p>
    <w:p w14:paraId="7A1CE5E6">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材料一: </w:t>
      </w:r>
    </w:p>
    <w:p w14:paraId="0F33074B">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逻辑不仅是一门独特的科学，还是一门奇异的艺术。科学在知的方面使理性臻于完善，艺术在行的方面使理性臻于完善。从这一意义上讲， 逻辑的目的就是艺术的目的。然而，除非逻辑既是一门艺术，又是一门科学，否则这一目的是不能达到的。人类理智的本性就是要成为理性。 对人来说，理智生活是一种发展着的东西。理性并非意味着不会犯错。人类理性的活动是推演性的，而推演活动又是一种生产性的或构造性的，理性并不能保证它在生产或构造中不会出错；相反，它可能会做出错误的定义或划分，推理会出现瑕疵，思想会产生混乱。自在的理性需要一种逻辑的力量来克服它的这种先天的不确定性，从而使理性的德行臻于完善。从这种意义上说，逻辑是一门科学，又是一门艺术。 </w:t>
      </w:r>
    </w:p>
    <w:p w14:paraId="79301BAC">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逻辑不仅是科学，是艺术，还是一种精神，一种理性精神。正是这种精神激发、促进、鼓舞和驱使人们将人类的思维运用到最完善的程度，并尽其所能地去探求和确立已经确立的知识的最深刻和最完美的内涵。公理化的逻辑体系表达出人类对臻至完善的理论所应当具有的形态的认识和向往。其中，逻辑公理的选择体现出人们对理论本身的最深思熟虑的判断和洞察力。逻辑规则和定义体现出人们为追求无可置疑的结论而对推论施加的严苛条件。推理链条的环环相扣反映出人们对思维编织的精细严密的要求。 从公理出发，一些简单的定理立刻就能得到证明，这些定理进而成为那些更深奥的定理的基石。这样，一座精美的大厦就严密地建立起来了。可以想象，如果一个理论将其中所有的论证--抽出，那么这一理论就会因只剩下一堆描述性语句而坍塌，理论的结构性力量和活力由此丧失殆尽。而一个确立了逻辑有效性的理论则意味着它获得了一种逻辑的品行。它因逻辑而变得简洁、精美、严格、强大，内部和谐、外部精巧、 经久耐用。 </w:t>
      </w:r>
    </w:p>
    <w:p w14:paraId="0F90A21C">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逻辑能力是存在于人的大脑中的一种能力， 这种能力是在人的成长过程中逐步形成的。这种能力是通过对世界的领悟内化而成的潜在逻辑，因此具有某种“自然习得”甚至“与生俱来”的性质。但它同时也具有模糊性、直觉性和不确定性，要使这种潜在的逻辑发展成为一种具有深刻性、确定性、批判性和反思性，在语言表达上具有清晰性、规范性、一致性和相干性的显逻辑，就需要在理论和实践两方面进行强化逻辑训练。 </w:t>
      </w:r>
    </w:p>
    <w:p w14:paraId="7421FB7C">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jc w:val="right"/>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(摘编自朱建平《逻辑:一种文化和精神》) </w:t>
      </w:r>
    </w:p>
    <w:p w14:paraId="6C5470FF">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材料二: </w:t>
      </w:r>
    </w:p>
    <w:p w14:paraId="0F7530EA">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语言和逻辑是密不可分的关系，语言运用的艺术，在很大程度上受到逻辑的制约。但是，我们也应该看到，语言运用的艺术，在某些情况下， 又是可以突破逻辑规律的框架的，这不仅无碍于语言运用的正确，而且反而使得语言运用收到更好的艺术效果，这就是“无理而妙”。 </w:t>
      </w:r>
    </w:p>
    <w:p w14:paraId="3178599F">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早在梁朝，刘勰在谈到“夸张”的时候，就明确指出其“无理而妙”的效果:“辞虽已甚，其义无害。”宋人严羽云:“诗有别趣，非关理也。”这些都说明在某种场合，“不合逻辑”的语言有时比合于逻辑的语言更有力量，而诗人的语言往往是新鲜奇特的，不能用常理来衡量。鲁迅说，“诗歌不能凭仗了哲学和智力来认识，所以感情已经冰结的思想家，即对于诗人往往有谬误的判断和隔膜的挪揄”。 </w:t>
      </w:r>
    </w:p>
    <w:p w14:paraId="7338AACE">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值得注意的是，“无理而妙”的艺术效果，同样得到了逻辑学界的认可和重视。“无理而妙” 是反逻辑的，而创造、赏析它，却又离不开正确运用逻辑思维的智慧和能力。《西厢记》中《长亭送别》一折写道: </w:t>
      </w:r>
    </w:p>
    <w:p w14:paraId="6CCB69EE">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sz w:val="28"/>
          <w:szCs w:val="28"/>
          <w:lang w:val="en-US" w:eastAsia="zh-CN"/>
        </w:rPr>
      </w:pPr>
      <w:r>
        <w:rPr>
          <w:rFonts w:hint="eastAsia" w:ascii="楷体" w:hAnsi="楷体" w:eastAsia="楷体" w:cs="楷体"/>
          <w:sz w:val="28"/>
          <w:szCs w:val="28"/>
          <w:lang w:val="en-US" w:eastAsia="zh-CN"/>
        </w:rPr>
        <w:t>碧云天，黄花地，西风紧，北雁南飞。晓来谁染霜林醉？总是离人泪。</w:t>
      </w:r>
      <w:r>
        <w:rPr>
          <w:rFonts w:hint="eastAsia" w:ascii="仿宋_GB2312" w:hAnsi="仿宋_GB2312" w:eastAsia="仿宋_GB2312" w:cs="仿宋_GB2312"/>
          <w:sz w:val="28"/>
          <w:szCs w:val="28"/>
          <w:lang w:val="en-US" w:eastAsia="zh-CN"/>
        </w:rPr>
        <w:t xml:space="preserve"> </w:t>
      </w:r>
    </w:p>
    <w:p w14:paraId="2885769E">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从事理上说，“晓来谁染霜林醉”问得稀奇，“总是离人泪”答得更是不近情理。然而，从修辞上说，这一问一答，是最近乎情，是最合乎理的。因为它把人情移用于事物，形象逼真地表达了主人公缠绵悱恻的离情别绪。这段文字，堪称“无理而妙”的上品。不过，我们细想一下，这“无理” 之中，也仍然有“有理”之处。“眼泪”是液体，故可用之“染”物；“霜林”是“红”的，故是被“染”的。 假如无此二者，这里要表现的离情别绪，恐怕也就失去了必要的依托，或者竟一变而为“无理而不妙”了。可见“无理而妙”的艺术效果，归根到底是有其深邃的逻辑基础的，只不过是在逻辑的基础上加上感情的色彩、想象的因素，离开了这种深邃的逻辑基础，人们创造、赏识“无理而妙” 的智慧和能力，也就无从发挥了。 </w:t>
      </w:r>
    </w:p>
    <w:p w14:paraId="6F7F256E">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jc w:val="right"/>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(节选自张炼强《修辞艺术探新》) </w:t>
      </w:r>
    </w:p>
    <w:p w14:paraId="1D1CC84F">
      <w:pPr>
        <w:keepNext w:val="0"/>
        <w:keepLines w:val="0"/>
        <w:pageBreakBefore w:val="0"/>
        <w:widowControl w:val="0"/>
        <w:numPr>
          <w:ilvl w:val="0"/>
          <w:numId w:val="0"/>
        </w:numPr>
        <w:kinsoku/>
        <w:wordWrap/>
        <w:overflowPunct/>
        <w:topLinePunct w:val="0"/>
        <w:autoSpaceDE/>
        <w:autoSpaceDN/>
        <w:bidi w:val="0"/>
        <w:spacing w:line="560" w:lineRule="exact"/>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1.下列对材料相关内容的理解和分析，不正确的一项是(    )。(3分) </w:t>
      </w:r>
    </w:p>
    <w:p w14:paraId="66C0F892">
      <w:pPr>
        <w:keepNext w:val="0"/>
        <w:keepLines w:val="0"/>
        <w:pageBreakBefore w:val="0"/>
        <w:widowControl w:val="0"/>
        <w:numPr>
          <w:ilvl w:val="0"/>
          <w:numId w:val="0"/>
        </w:numPr>
        <w:kinsoku/>
        <w:wordWrap/>
        <w:overflowPunct/>
        <w:topLinePunct w:val="0"/>
        <w:autoSpaceDE/>
        <w:autoSpaceDN/>
        <w:bidi w:val="0"/>
        <w:spacing w:line="560" w:lineRule="exact"/>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A.人类理性的推演活动具有生产性或构造性， 在这一活动过程中可能做出错误的定义或划分，使推理出现瑕疵，思想产生混乱。 </w:t>
      </w:r>
    </w:p>
    <w:p w14:paraId="1AF0E48E">
      <w:pPr>
        <w:keepNext w:val="0"/>
        <w:keepLines w:val="0"/>
        <w:pageBreakBefore w:val="0"/>
        <w:widowControl w:val="0"/>
        <w:numPr>
          <w:ilvl w:val="0"/>
          <w:numId w:val="0"/>
        </w:numPr>
        <w:kinsoku/>
        <w:wordWrap/>
        <w:overflowPunct/>
        <w:topLinePunct w:val="0"/>
        <w:autoSpaceDE/>
        <w:autoSpaceDN/>
        <w:bidi w:val="0"/>
        <w:spacing w:line="560" w:lineRule="exact"/>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B.逻辑精神激发、促进、鼓舞和驱使人们将人类的思维运用到最完善的程度，并尽其所能地去探求和确立已经确立的知识的最深刻和最完美的内涵。 </w:t>
      </w:r>
    </w:p>
    <w:p w14:paraId="3C211BBA">
      <w:pPr>
        <w:keepNext w:val="0"/>
        <w:keepLines w:val="0"/>
        <w:pageBreakBefore w:val="0"/>
        <w:widowControl w:val="0"/>
        <w:numPr>
          <w:ilvl w:val="0"/>
          <w:numId w:val="0"/>
        </w:numPr>
        <w:kinsoku/>
        <w:wordWrap/>
        <w:overflowPunct/>
        <w:topLinePunct w:val="0"/>
        <w:autoSpaceDE/>
        <w:autoSpaceDN/>
        <w:bidi w:val="0"/>
        <w:spacing w:line="560" w:lineRule="exact"/>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C.推理链条越是环环相扣，推理施加的条件越是严苛，越能反映人们思维的精细严密，也就越能得出无可置疑的结论。 </w:t>
      </w:r>
    </w:p>
    <w:p w14:paraId="04A2D358">
      <w:pPr>
        <w:keepNext w:val="0"/>
        <w:keepLines w:val="0"/>
        <w:pageBreakBefore w:val="0"/>
        <w:widowControl w:val="0"/>
        <w:numPr>
          <w:ilvl w:val="0"/>
          <w:numId w:val="0"/>
        </w:numPr>
        <w:kinsoku/>
        <w:wordWrap/>
        <w:overflowPunct/>
        <w:topLinePunct w:val="0"/>
        <w:autoSpaceDE/>
        <w:autoSpaceDN/>
        <w:bidi w:val="0"/>
        <w:spacing w:line="560" w:lineRule="exact"/>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D.逻辑有效性理论因逻辑和论证而变得简洁、 精美、严格、强大，也会因为加人一些描述性语句而丧失理论的结构性力量和活力。 </w:t>
      </w:r>
    </w:p>
    <w:p w14:paraId="290864DB">
      <w:pPr>
        <w:keepNext w:val="0"/>
        <w:keepLines w:val="0"/>
        <w:pageBreakBefore w:val="0"/>
        <w:widowControl w:val="0"/>
        <w:numPr>
          <w:ilvl w:val="0"/>
          <w:numId w:val="0"/>
        </w:numPr>
        <w:kinsoku/>
        <w:wordWrap/>
        <w:overflowPunct/>
        <w:topLinePunct w:val="0"/>
        <w:autoSpaceDE/>
        <w:autoSpaceDN/>
        <w:bidi w:val="0"/>
        <w:spacing w:line="560" w:lineRule="exact"/>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2.根据材料内容，下列说法不正确的一项是（）。(3分) </w:t>
      </w:r>
    </w:p>
    <w:p w14:paraId="2E82AD36">
      <w:pPr>
        <w:keepNext w:val="0"/>
        <w:keepLines w:val="0"/>
        <w:pageBreakBefore w:val="0"/>
        <w:widowControl w:val="0"/>
        <w:numPr>
          <w:ilvl w:val="0"/>
          <w:numId w:val="0"/>
        </w:numPr>
        <w:kinsoku/>
        <w:wordWrap/>
        <w:overflowPunct/>
        <w:topLinePunct w:val="0"/>
        <w:autoSpaceDE/>
        <w:autoSpaceDN/>
        <w:bidi w:val="0"/>
        <w:spacing w:line="560" w:lineRule="exact"/>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A.有的人语言表达清晰与规范，是因为逻辑能力本就存在于他的大脑中，具有“自然习得” 甚至“与生俱来”的性质。 </w:t>
      </w:r>
    </w:p>
    <w:p w14:paraId="6937DC75">
      <w:pPr>
        <w:keepNext w:val="0"/>
        <w:keepLines w:val="0"/>
        <w:pageBreakBefore w:val="0"/>
        <w:widowControl w:val="0"/>
        <w:numPr>
          <w:ilvl w:val="0"/>
          <w:numId w:val="0"/>
        </w:numPr>
        <w:kinsoku/>
        <w:wordWrap/>
        <w:overflowPunct/>
        <w:topLinePunct w:val="0"/>
        <w:autoSpaceDE/>
        <w:autoSpaceDN/>
        <w:bidi w:val="0"/>
        <w:spacing w:line="560" w:lineRule="exact"/>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B.语言和逻辑是密不可分的关系，语言运用的艺术，既受到逻辑的制约，又可以突破逻辑的拘囿。 </w:t>
      </w:r>
    </w:p>
    <w:p w14:paraId="1407A272">
      <w:pPr>
        <w:keepNext w:val="0"/>
        <w:keepLines w:val="0"/>
        <w:pageBreakBefore w:val="0"/>
        <w:widowControl w:val="0"/>
        <w:numPr>
          <w:ilvl w:val="0"/>
          <w:numId w:val="0"/>
        </w:numPr>
        <w:kinsoku/>
        <w:wordWrap/>
        <w:overflowPunct/>
        <w:topLinePunct w:val="0"/>
        <w:autoSpaceDE/>
        <w:autoSpaceDN/>
        <w:bidi w:val="0"/>
        <w:spacing w:line="560" w:lineRule="exact"/>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C.诗人的语言往往是新鲜奇特而不能用常理来衡量的，如果只运用逻辑的理性去认识它，那么对于诗人和诗歌反而往往会产生错误的判断。 </w:t>
      </w:r>
    </w:p>
    <w:p w14:paraId="67A60F5D">
      <w:pPr>
        <w:keepNext w:val="0"/>
        <w:keepLines w:val="0"/>
        <w:pageBreakBefore w:val="0"/>
        <w:widowControl w:val="0"/>
        <w:numPr>
          <w:ilvl w:val="0"/>
          <w:numId w:val="0"/>
        </w:numPr>
        <w:kinsoku/>
        <w:wordWrap/>
        <w:overflowPunct/>
        <w:topLinePunct w:val="0"/>
        <w:autoSpaceDE/>
        <w:autoSpaceDN/>
        <w:bidi w:val="0"/>
        <w:spacing w:line="560" w:lineRule="exact"/>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D.在逻辑的基础上加上感情的色彩、想象的因素，人们才有可能发挥创造、赏识“无理而妙”的智慧和能力。 </w:t>
      </w:r>
    </w:p>
    <w:p w14:paraId="254B40BA">
      <w:pPr>
        <w:keepNext w:val="0"/>
        <w:keepLines w:val="0"/>
        <w:pageBreakBefore w:val="0"/>
        <w:widowControl w:val="0"/>
        <w:numPr>
          <w:ilvl w:val="0"/>
          <w:numId w:val="0"/>
        </w:numPr>
        <w:kinsoku/>
        <w:wordWrap/>
        <w:overflowPunct/>
        <w:topLinePunct w:val="0"/>
        <w:autoSpaceDE/>
        <w:autoSpaceDN/>
        <w:bidi w:val="0"/>
        <w:spacing w:line="560" w:lineRule="exact"/>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3.下列选项中的诗句，不能体现“无理而妙”的艺术效果的一项是(    )。(3分) </w:t>
      </w:r>
    </w:p>
    <w:p w14:paraId="475E6DB5">
      <w:pPr>
        <w:keepNext w:val="0"/>
        <w:keepLines w:val="0"/>
        <w:pageBreakBefore w:val="0"/>
        <w:widowControl w:val="0"/>
        <w:numPr>
          <w:ilvl w:val="0"/>
          <w:numId w:val="0"/>
        </w:numPr>
        <w:kinsoku/>
        <w:wordWrap/>
        <w:overflowPunct/>
        <w:topLinePunct w:val="0"/>
        <w:autoSpaceDE/>
        <w:autoSpaceDN/>
        <w:bidi w:val="0"/>
        <w:spacing w:line="560" w:lineRule="exact"/>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A.王于兴师，修我戈矛，与子同仇。(《诗经: 无衣》) </w:t>
      </w:r>
    </w:p>
    <w:p w14:paraId="36891087">
      <w:pPr>
        <w:keepNext w:val="0"/>
        <w:keepLines w:val="0"/>
        <w:pageBreakBefore w:val="0"/>
        <w:widowControl w:val="0"/>
        <w:numPr>
          <w:ilvl w:val="0"/>
          <w:numId w:val="0"/>
        </w:numPr>
        <w:kinsoku/>
        <w:wordWrap/>
        <w:overflowPunct/>
        <w:topLinePunct w:val="0"/>
        <w:autoSpaceDE/>
        <w:autoSpaceDN/>
        <w:bidi w:val="0"/>
        <w:spacing w:line="560" w:lineRule="exact"/>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B.空里流霜不觉飞，汀上白沙看不见。(张若虚《春江花月夜》) </w:t>
      </w:r>
    </w:p>
    <w:p w14:paraId="1ED20C1A">
      <w:pPr>
        <w:keepNext w:val="0"/>
        <w:keepLines w:val="0"/>
        <w:pageBreakBefore w:val="0"/>
        <w:widowControl w:val="0"/>
        <w:numPr>
          <w:ilvl w:val="0"/>
          <w:numId w:val="0"/>
        </w:numPr>
        <w:kinsoku/>
        <w:wordWrap/>
        <w:overflowPunct/>
        <w:topLinePunct w:val="0"/>
        <w:autoSpaceDE/>
        <w:autoSpaceDN/>
        <w:bidi w:val="0"/>
        <w:spacing w:line="560" w:lineRule="exact"/>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C.君不见高堂明镜悲白发，朝如青丝暮成雪。 (李白《将进酒》) </w:t>
      </w:r>
    </w:p>
    <w:p w14:paraId="3022B9F4">
      <w:pPr>
        <w:keepNext w:val="0"/>
        <w:keepLines w:val="0"/>
        <w:pageBreakBefore w:val="0"/>
        <w:widowControl w:val="0"/>
        <w:numPr>
          <w:ilvl w:val="0"/>
          <w:numId w:val="0"/>
        </w:numPr>
        <w:kinsoku/>
        <w:wordWrap/>
        <w:overflowPunct/>
        <w:topLinePunct w:val="0"/>
        <w:autoSpaceDE/>
        <w:autoSpaceDN/>
        <w:bidi w:val="0"/>
        <w:spacing w:line="560" w:lineRule="exact"/>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D.夜来幽梦忽还乡。小轩窗，正梳妆。(苏轼《江城子·乙卯正月二十日夜记梦》) </w:t>
      </w:r>
    </w:p>
    <w:p w14:paraId="67467FF8">
      <w:pPr>
        <w:keepNext w:val="0"/>
        <w:keepLines w:val="0"/>
        <w:pageBreakBefore w:val="0"/>
        <w:widowControl w:val="0"/>
        <w:numPr>
          <w:ilvl w:val="0"/>
          <w:numId w:val="0"/>
        </w:numPr>
        <w:kinsoku/>
        <w:wordWrap/>
        <w:overflowPunct/>
        <w:topLinePunct w:val="0"/>
        <w:autoSpaceDE/>
        <w:autoSpaceDN/>
        <w:bidi w:val="0"/>
        <w:spacing w:line="560" w:lineRule="exact"/>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4.材料一和材料二中运用了哪些论证方法？请结合文本进行简要分析。(6分) </w:t>
      </w:r>
    </w:p>
    <w:p w14:paraId="3EBDDF1F">
      <w:pPr>
        <w:keepNext w:val="0"/>
        <w:keepLines w:val="0"/>
        <w:pageBreakBefore w:val="0"/>
        <w:widowControl w:val="0"/>
        <w:numPr>
          <w:ilvl w:val="0"/>
          <w:numId w:val="0"/>
        </w:numPr>
        <w:kinsoku/>
        <w:wordWrap/>
        <w:overflowPunct/>
        <w:topLinePunct w:val="0"/>
        <w:autoSpaceDE/>
        <w:autoSpaceDN/>
        <w:bidi w:val="0"/>
        <w:spacing w:line="560" w:lineRule="exact"/>
        <w:textAlignment w:val="auto"/>
        <w:rPr>
          <w:rFonts w:hint="eastAsia" w:ascii="仿宋_GB2312" w:hAnsi="仿宋_GB2312" w:eastAsia="仿宋_GB2312" w:cs="仿宋_GB2312"/>
          <w:sz w:val="28"/>
          <w:szCs w:val="28"/>
          <w:lang w:val="en-US" w:eastAsia="zh-CN"/>
        </w:rPr>
      </w:pPr>
    </w:p>
    <w:p w14:paraId="69A33343">
      <w:pPr>
        <w:keepNext w:val="0"/>
        <w:keepLines w:val="0"/>
        <w:pageBreakBefore w:val="0"/>
        <w:widowControl w:val="0"/>
        <w:numPr>
          <w:ilvl w:val="0"/>
          <w:numId w:val="0"/>
        </w:numPr>
        <w:kinsoku/>
        <w:wordWrap/>
        <w:overflowPunct/>
        <w:topLinePunct w:val="0"/>
        <w:autoSpaceDE/>
        <w:autoSpaceDN/>
        <w:bidi w:val="0"/>
        <w:spacing w:line="560" w:lineRule="exact"/>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5.作者认为，“无理”之中，仍然有“有理”之处， “有理”即合乎逻辑事理。材料二“‘眼泪’是液体，故可用之‘染’物”，这句话中包含着一个三段论推理。请你将这个三段论推理完整表达出来。(6分) </w:t>
      </w:r>
    </w:p>
    <w:p w14:paraId="77D87D5F">
      <w:pPr>
        <w:keepNext w:val="0"/>
        <w:keepLines w:val="0"/>
        <w:pageBreakBefore w:val="0"/>
        <w:widowControl w:val="0"/>
        <w:numPr>
          <w:ilvl w:val="0"/>
          <w:numId w:val="0"/>
        </w:numPr>
        <w:kinsoku/>
        <w:wordWrap/>
        <w:overflowPunct/>
        <w:topLinePunct w:val="0"/>
        <w:autoSpaceDE/>
        <w:autoSpaceDN/>
        <w:bidi w:val="0"/>
        <w:spacing w:line="560" w:lineRule="exact"/>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大前提: </w:t>
      </w:r>
    </w:p>
    <w:p w14:paraId="7D75495C">
      <w:pPr>
        <w:keepNext w:val="0"/>
        <w:keepLines w:val="0"/>
        <w:pageBreakBefore w:val="0"/>
        <w:widowControl w:val="0"/>
        <w:numPr>
          <w:ilvl w:val="0"/>
          <w:numId w:val="0"/>
        </w:numPr>
        <w:kinsoku/>
        <w:wordWrap/>
        <w:overflowPunct/>
        <w:topLinePunct w:val="0"/>
        <w:autoSpaceDE/>
        <w:autoSpaceDN/>
        <w:bidi w:val="0"/>
        <w:spacing w:line="560" w:lineRule="exact"/>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小前提: </w:t>
      </w:r>
      <w:bookmarkStart w:id="0" w:name="_GoBack"/>
      <w:bookmarkEnd w:id="0"/>
    </w:p>
    <w:p w14:paraId="504D0F03">
      <w:pPr>
        <w:keepNext w:val="0"/>
        <w:keepLines w:val="0"/>
        <w:pageBreakBefore w:val="0"/>
        <w:widowControl w:val="0"/>
        <w:numPr>
          <w:ilvl w:val="0"/>
          <w:numId w:val="0"/>
        </w:numPr>
        <w:kinsoku/>
        <w:wordWrap/>
        <w:overflowPunct/>
        <w:topLinePunct w:val="0"/>
        <w:autoSpaceDE/>
        <w:autoSpaceDN/>
        <w:bidi w:val="0"/>
        <w:spacing w:line="560" w:lineRule="exact"/>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 xml:space="preserve">结论: </w:t>
      </w:r>
    </w:p>
    <w:p w14:paraId="4B257537">
      <w:pPr>
        <w:keepNext w:val="0"/>
        <w:keepLines w:val="0"/>
        <w:pageBreakBefore w:val="0"/>
        <w:widowControl w:val="0"/>
        <w:numPr>
          <w:ilvl w:val="0"/>
          <w:numId w:val="0"/>
        </w:numPr>
        <w:kinsoku/>
        <w:wordWrap/>
        <w:overflowPunct/>
        <w:topLinePunct w:val="0"/>
        <w:autoSpaceDE/>
        <w:autoSpaceDN/>
        <w:bidi w:val="0"/>
        <w:spacing w:line="560" w:lineRule="exact"/>
        <w:textAlignment w:val="auto"/>
        <w:rPr>
          <w:rFonts w:hint="eastAsia" w:ascii="仿宋_GB2312" w:hAnsi="仿宋_GB2312" w:eastAsia="仿宋_GB2312" w:cs="仿宋_GB2312"/>
          <w:sz w:val="28"/>
          <w:szCs w:val="28"/>
          <w:lang w:val="en-US" w:eastAsia="zh-CN"/>
        </w:rPr>
      </w:pPr>
    </w:p>
    <w:sectPr>
      <w:headerReference r:id="rId3" w:type="default"/>
      <w:footerReference r:id="rId4" w:type="default"/>
      <w:pgSz w:w="11906" w:h="16838"/>
      <w:pgMar w:top="2098" w:right="1474" w:bottom="198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F7F6AA">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C270646">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1C270646">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25332A">
    <w:pPr>
      <w:pStyle w:val="4"/>
      <w:rPr>
        <w:rFonts w:hint="default" w:eastAsiaTheme="minorEastAsia"/>
        <w:sz w:val="18"/>
        <w:szCs w:val="18"/>
        <w:lang w:val="en-US" w:eastAsia="zh-CN"/>
      </w:rPr>
    </w:pPr>
    <w:r>
      <w:rPr>
        <w:rFonts w:hint="eastAsia"/>
        <w:sz w:val="18"/>
        <w:szCs w:val="18"/>
        <w:lang w:val="en-US" w:eastAsia="zh-CN"/>
      </w:rPr>
      <w:t>横峰中学学生课堂导学训案（学科） 编号：hfzx （已编撰次数） 使用时间: 编写人：桂艳红 审核人：</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D3E5E07"/>
    <w:multiLevelType w:val="singleLevel"/>
    <w:tmpl w:val="0D3E5E07"/>
    <w:lvl w:ilvl="0" w:tentative="0">
      <w:start w:val="1"/>
      <w:numFmt w:val="decimal"/>
      <w:suff w:val="nothing"/>
      <w:lvlText w:val="%1、"/>
      <w:lvlJc w:val="left"/>
    </w:lvl>
  </w:abstractNum>
  <w:abstractNum w:abstractNumId="1">
    <w:nsid w:val="4FFCFBAE"/>
    <w:multiLevelType w:val="singleLevel"/>
    <w:tmpl w:val="4FFCFBAE"/>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Y0Y2IwOWNkYjY0NjY3MWQ4ZDZlYjViMjI4Y2Y4NDIifQ=="/>
  </w:docVars>
  <w:rsids>
    <w:rsidRoot w:val="00000000"/>
    <w:rsid w:val="385828C1"/>
    <w:rsid w:val="3F6F0246"/>
    <w:rsid w:val="5B5940C1"/>
    <w:rsid w:val="5E4319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Plain Text"/>
    <w:basedOn w:val="1"/>
    <w:qFormat/>
    <w:uiPriority w:val="0"/>
    <w:rPr>
      <w:rFonts w:hAnsi="Courier New" w:cs="Courier New"/>
      <w:szCs w:val="21"/>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unhideWhenUsed/>
    <w:qFormat/>
    <w:uiPriority w:val="99"/>
    <w:pPr>
      <w:widowControl/>
      <w:spacing w:before="100" w:beforeAutospacing="1" w:after="100" w:afterAutospacing="1" w:line="240" w:lineRule="auto"/>
      <w:ind w:firstLine="0" w:firstLineChars="0"/>
      <w:jc w:val="left"/>
    </w:pPr>
    <w:rPr>
      <w:rFonts w:cs="宋体"/>
      <w:kern w:val="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2665</Words>
  <Characters>2720</Characters>
  <Lines>0</Lines>
  <Paragraphs>0</Paragraphs>
  <TotalTime>8</TotalTime>
  <ScaleCrop>false</ScaleCrop>
  <LinksUpToDate>false</LinksUpToDate>
  <CharactersWithSpaces>2758</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2024-10-31T09:30:00Z</dcterms:created>
  <dc:creator>Administrator</dc:creator>
  <cp:lastModifiedBy>GYH*桂*</cp:lastModifiedBy>
  <dcterms:modified xsi:type="dcterms:W3CDTF">2024-10-31T10:17:40Z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50DF9BE91B5C4C3B855345DDB9F77D33_12</vt:lpwstr>
  </property>
</Properties>
</file>